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0B31E4" w14:textId="070606AE" w:rsidR="00665A16" w:rsidRPr="00D15B0F" w:rsidRDefault="00307A21" w:rsidP="00A721DB">
      <w:pPr>
        <w:spacing w:after="0" w:line="240" w:lineRule="auto"/>
        <w:jc w:val="center"/>
        <w:rPr>
          <w:rStyle w:val="Ttulodellibro"/>
          <w:sz w:val="36"/>
          <w:szCs w:val="36"/>
          <w:lang w:val="es-PA"/>
        </w:rPr>
      </w:pPr>
      <w:r w:rsidRPr="00D15B0F">
        <w:rPr>
          <w:rStyle w:val="Ttulodellibro"/>
          <w:sz w:val="36"/>
          <w:szCs w:val="36"/>
          <w:lang w:val="es-PA"/>
        </w:rPr>
        <w:t xml:space="preserve">Anteproyecto </w:t>
      </w:r>
      <w:r w:rsidR="00E01D2C" w:rsidRPr="00D15B0F">
        <w:rPr>
          <w:rStyle w:val="Ttulodellibro"/>
          <w:sz w:val="36"/>
          <w:szCs w:val="36"/>
          <w:lang w:val="es-PA"/>
        </w:rPr>
        <w:t xml:space="preserve">de </w:t>
      </w:r>
      <w:r w:rsidR="00665A16" w:rsidRPr="00D15B0F">
        <w:rPr>
          <w:rStyle w:val="Ttulodellibro"/>
          <w:sz w:val="36"/>
          <w:szCs w:val="36"/>
          <w:lang w:val="es-PA"/>
        </w:rPr>
        <w:t>Ley</w:t>
      </w:r>
      <w:r w:rsidR="00E01D2C" w:rsidRPr="00D15B0F">
        <w:rPr>
          <w:rStyle w:val="Ttulodellibro"/>
          <w:sz w:val="36"/>
          <w:szCs w:val="36"/>
          <w:lang w:val="es-PA"/>
        </w:rPr>
        <w:t xml:space="preserve"> General de</w:t>
      </w:r>
      <w:r w:rsidR="00665A16" w:rsidRPr="00D15B0F">
        <w:rPr>
          <w:rStyle w:val="Ttulodellibro"/>
          <w:sz w:val="36"/>
          <w:szCs w:val="36"/>
          <w:lang w:val="es-PA"/>
        </w:rPr>
        <w:t xml:space="preserve"> </w:t>
      </w:r>
      <w:r w:rsidR="00E01D2C" w:rsidRPr="00D15B0F">
        <w:rPr>
          <w:rStyle w:val="Ttulodellibro"/>
          <w:sz w:val="36"/>
          <w:szCs w:val="36"/>
          <w:lang w:val="es-PA"/>
        </w:rPr>
        <w:t xml:space="preserve">Calidad y Seguridad </w:t>
      </w:r>
      <w:r w:rsidR="00665A16" w:rsidRPr="00D15B0F">
        <w:rPr>
          <w:rStyle w:val="Ttulodellibro"/>
          <w:sz w:val="36"/>
          <w:szCs w:val="36"/>
          <w:lang w:val="es-PA"/>
        </w:rPr>
        <w:t>de la Atención en el Sistema de Salud</w:t>
      </w:r>
      <w:r w:rsidR="00E01D2C" w:rsidRPr="00D15B0F">
        <w:rPr>
          <w:rStyle w:val="Ttulodellibro"/>
          <w:sz w:val="36"/>
          <w:szCs w:val="36"/>
          <w:lang w:val="es-PA"/>
        </w:rPr>
        <w:t>.</w:t>
      </w:r>
    </w:p>
    <w:p w14:paraId="6453B24B" w14:textId="77777777" w:rsidR="00E01D2C" w:rsidRDefault="00E01D2C" w:rsidP="00307A21">
      <w:pPr>
        <w:spacing w:after="0" w:line="240" w:lineRule="auto"/>
        <w:rPr>
          <w:lang w:val="es-MX"/>
        </w:rPr>
      </w:pPr>
    </w:p>
    <w:p w14:paraId="297F18F9" w14:textId="77777777" w:rsidR="00A721DB" w:rsidRPr="00307A21" w:rsidRDefault="00A721DB" w:rsidP="00307A21">
      <w:pPr>
        <w:spacing w:after="0" w:line="240" w:lineRule="auto"/>
        <w:rPr>
          <w:lang w:val="es-MX"/>
        </w:rPr>
      </w:pPr>
    </w:p>
    <w:p w14:paraId="2785F3C3" w14:textId="798704DA" w:rsidR="00665A16" w:rsidRPr="001F71C1" w:rsidRDefault="00665A16" w:rsidP="001F71C1">
      <w:pPr>
        <w:pStyle w:val="Ttulo1"/>
        <w:rPr>
          <w:color w:val="000000" w:themeColor="text1"/>
          <w:lang w:val="es-PA"/>
        </w:rPr>
      </w:pPr>
      <w:r w:rsidRPr="001F71C1">
        <w:rPr>
          <w:color w:val="000000" w:themeColor="text1"/>
          <w:lang w:val="es-PA"/>
        </w:rPr>
        <w:t xml:space="preserve">Exposición de </w:t>
      </w:r>
      <w:r w:rsidR="00E810A5" w:rsidRPr="001F71C1">
        <w:rPr>
          <w:color w:val="000000" w:themeColor="text1"/>
          <w:lang w:val="es-PA"/>
        </w:rPr>
        <w:t>Motivos.</w:t>
      </w:r>
    </w:p>
    <w:p w14:paraId="4582E6C1" w14:textId="77777777" w:rsidR="00E55449" w:rsidRPr="00D15B0F" w:rsidRDefault="00665A16" w:rsidP="00A721DB">
      <w:pPr>
        <w:jc w:val="both"/>
        <w:rPr>
          <w:rFonts w:ascii="Arial" w:hAnsi="Arial" w:cs="Arial"/>
          <w:color w:val="000000" w:themeColor="text1"/>
          <w:szCs w:val="24"/>
          <w:lang w:val="es-PA"/>
        </w:rPr>
      </w:pPr>
      <w:r w:rsidRPr="00D15B0F">
        <w:rPr>
          <w:rFonts w:ascii="Arial" w:hAnsi="Arial" w:cs="Arial"/>
          <w:color w:val="000000" w:themeColor="text1"/>
          <w:szCs w:val="24"/>
          <w:lang w:val="es-PA"/>
        </w:rPr>
        <w:t>La medicina se sustenta en un contrato social entre profesionales de la salud y la sociedad, cuyo eje central es el respeto a la vida, la dignidad y la integridad del paciente. La bioética contemporánea exige no solo la beneficencia, sino también la no maleficencia: evitar que el acto médico, en lugar de sanar, cause daño. La seguridad del paciente se erige así como un imperativo ético y filosófico, que protege al enfermo como primera víctima y al profesional de la salud como segunda víctima.</w:t>
      </w:r>
    </w:p>
    <w:p w14:paraId="0CA9490B" w14:textId="4A5F5FC5" w:rsidR="00D47578" w:rsidRPr="00D15B0F" w:rsidRDefault="00665A16" w:rsidP="00A721DB">
      <w:pPr>
        <w:jc w:val="both"/>
        <w:rPr>
          <w:rFonts w:ascii="Arial" w:hAnsi="Arial" w:cs="Arial"/>
          <w:color w:val="000000" w:themeColor="text1"/>
          <w:szCs w:val="24"/>
          <w:lang w:val="es-PA"/>
        </w:rPr>
      </w:pPr>
      <w:r w:rsidRPr="00D15B0F">
        <w:rPr>
          <w:rFonts w:ascii="Arial" w:hAnsi="Arial" w:cs="Arial"/>
          <w:color w:val="000000" w:themeColor="text1"/>
          <w:szCs w:val="24"/>
          <w:lang w:val="es-PA"/>
        </w:rPr>
        <w:t>Los errores en la práctica médica, por su multicausalidad, son una realidad en los sistemas de salud. Según el Instituto de Medicina de los Estados Unidos (2000) y estudios posteriores, estos eventos adversos se cuentan entre las principales causas de mortalidad. Panamá no escapa a esta realidad: la ausencia de una cultura integral de seguridad y calidad incrementa el riesgo de daño, deteriora la confianza entre paciente y médico, genera sobrecostos</w:t>
      </w:r>
      <w:r w:rsidR="00CD5A36" w:rsidRPr="00D15B0F">
        <w:rPr>
          <w:rFonts w:ascii="Arial" w:hAnsi="Arial" w:cs="Arial"/>
          <w:color w:val="000000" w:themeColor="text1"/>
          <w:szCs w:val="24"/>
          <w:lang w:val="es-PA"/>
        </w:rPr>
        <w:t xml:space="preserve"> equivalentes a aproximadamente el 13% del gasto sanitario nacional </w:t>
      </w:r>
      <w:r w:rsidRPr="00D15B0F">
        <w:rPr>
          <w:rFonts w:ascii="Arial" w:hAnsi="Arial" w:cs="Arial"/>
          <w:color w:val="000000" w:themeColor="text1"/>
          <w:szCs w:val="24"/>
          <w:lang w:val="es-PA"/>
        </w:rPr>
        <w:t>y expone al profesional sanitario a consecuencias emocionales y legales</w:t>
      </w:r>
      <w:r w:rsidR="009437FE" w:rsidRPr="00D15B0F">
        <w:rPr>
          <w:rFonts w:ascii="Arial" w:hAnsi="Arial" w:cs="Arial"/>
          <w:color w:val="000000" w:themeColor="text1"/>
          <w:szCs w:val="24"/>
          <w:lang w:val="es-PA"/>
        </w:rPr>
        <w:t>.</w:t>
      </w:r>
    </w:p>
    <w:p w14:paraId="58E543F3" w14:textId="6E0C365A" w:rsidR="00665A16" w:rsidRPr="00D15B0F" w:rsidRDefault="00665A16" w:rsidP="00A721DB">
      <w:pPr>
        <w:jc w:val="both"/>
        <w:rPr>
          <w:rFonts w:ascii="Arial" w:hAnsi="Arial" w:cs="Arial"/>
          <w:color w:val="000000" w:themeColor="text1"/>
          <w:szCs w:val="24"/>
          <w:lang w:val="es-PA"/>
        </w:rPr>
      </w:pPr>
      <w:r w:rsidRPr="00D15B0F">
        <w:rPr>
          <w:rFonts w:ascii="Arial" w:hAnsi="Arial" w:cs="Arial"/>
          <w:color w:val="000000" w:themeColor="text1"/>
          <w:szCs w:val="24"/>
          <w:lang w:val="es-PA"/>
        </w:rPr>
        <w:t>El sistema de salud requiere un marco jurídico que prevenga los efectos adversos antes de que ocurran, reconozca la doble dimensión del daño, reduzca los costos</w:t>
      </w:r>
      <w:r w:rsidR="00D51C6D" w:rsidRPr="00D15B0F">
        <w:rPr>
          <w:rFonts w:ascii="Arial" w:hAnsi="Arial" w:cs="Arial"/>
          <w:color w:val="000000" w:themeColor="text1"/>
          <w:szCs w:val="24"/>
          <w:lang w:val="es-PA"/>
        </w:rPr>
        <w:t xml:space="preserve"> y re procesos </w:t>
      </w:r>
      <w:r w:rsidRPr="00D15B0F">
        <w:rPr>
          <w:rFonts w:ascii="Arial" w:hAnsi="Arial" w:cs="Arial"/>
          <w:color w:val="000000" w:themeColor="text1"/>
          <w:szCs w:val="24"/>
          <w:lang w:val="es-PA"/>
        </w:rPr>
        <w:t>innecesarios, fomente la comunicación efectiva y promueva la mejora continua. Esta Ley permitirá disminuir en hasta un 70% los eventos adversos prevenibles, elevar la confianza de la ciudadanía, mejorar la eficiencia del gasto público y brindar respaldo a los profesionales de salud</w:t>
      </w:r>
      <w:r w:rsidR="00D51C6D" w:rsidRPr="00D15B0F">
        <w:rPr>
          <w:rFonts w:ascii="Arial" w:hAnsi="Arial" w:cs="Arial"/>
          <w:color w:val="000000" w:themeColor="text1"/>
          <w:szCs w:val="24"/>
          <w:lang w:val="es-PA"/>
        </w:rPr>
        <w:t xml:space="preserve"> en su </w:t>
      </w:r>
      <w:r w:rsidR="00F603D1" w:rsidRPr="00D15B0F">
        <w:rPr>
          <w:rFonts w:ascii="Arial" w:hAnsi="Arial" w:cs="Arial"/>
          <w:color w:val="000000" w:themeColor="text1"/>
          <w:szCs w:val="24"/>
          <w:lang w:val="es-PA"/>
        </w:rPr>
        <w:t>actuación.</w:t>
      </w:r>
    </w:p>
    <w:p w14:paraId="6E6C9F63" w14:textId="77777777" w:rsidR="00665A16" w:rsidRPr="002D3DF5" w:rsidRDefault="00665A16" w:rsidP="002D3DF5">
      <w:pPr>
        <w:rPr>
          <w:rFonts w:ascii="Arial" w:hAnsi="Arial" w:cs="Arial"/>
          <w:color w:val="000000" w:themeColor="text1"/>
          <w:szCs w:val="24"/>
          <w:lang w:val="es-PA"/>
        </w:rPr>
      </w:pPr>
      <w:r w:rsidRPr="00D15B0F">
        <w:rPr>
          <w:rStyle w:val="Ttulo1Car"/>
          <w:color w:val="000000" w:themeColor="text1"/>
          <w:lang w:val="es-PA"/>
        </w:rPr>
        <w:t>TÍTULO I</w:t>
      </w:r>
      <w:r w:rsidRPr="00D15B0F">
        <w:rPr>
          <w:rStyle w:val="Ttulo1Car"/>
          <w:color w:val="000000" w:themeColor="text1"/>
          <w:lang w:val="es-PA"/>
        </w:rPr>
        <w:br/>
      </w:r>
      <w:r w:rsidRPr="002D3DF5">
        <w:rPr>
          <w:rFonts w:ascii="Arial" w:hAnsi="Arial" w:cs="Arial"/>
          <w:color w:val="000000" w:themeColor="text1"/>
          <w:szCs w:val="24"/>
          <w:lang w:val="es-PA"/>
        </w:rPr>
        <w:t>Disposiciones Generales</w:t>
      </w:r>
    </w:p>
    <w:p w14:paraId="582B7833" w14:textId="77777777" w:rsidR="00665A16" w:rsidRPr="00647E7B" w:rsidRDefault="00665A16" w:rsidP="00647E7B">
      <w:pPr>
        <w:pStyle w:val="Ttulo2"/>
        <w:rPr>
          <w:color w:val="000000" w:themeColor="text1"/>
          <w:lang w:val="es-PA"/>
        </w:rPr>
      </w:pPr>
      <w:r w:rsidRPr="00647E7B">
        <w:rPr>
          <w:color w:val="000000" w:themeColor="text1"/>
          <w:lang w:val="es-PA"/>
        </w:rPr>
        <w:t>Artículo 1. Objeto de la Ley.</w:t>
      </w:r>
    </w:p>
    <w:p w14:paraId="16AF1146" w14:textId="77777777" w:rsidR="00665A16" w:rsidRPr="00D15B0F" w:rsidRDefault="00665A16" w:rsidP="00D74882">
      <w:pPr>
        <w:jc w:val="both"/>
        <w:rPr>
          <w:rFonts w:ascii="Arial" w:hAnsi="Arial" w:cs="Arial"/>
          <w:color w:val="000000" w:themeColor="text1"/>
          <w:szCs w:val="24"/>
          <w:lang w:val="es-PA"/>
        </w:rPr>
      </w:pPr>
      <w:r w:rsidRPr="00D15B0F">
        <w:rPr>
          <w:rFonts w:ascii="Arial" w:hAnsi="Arial" w:cs="Arial"/>
          <w:color w:val="000000" w:themeColor="text1"/>
          <w:szCs w:val="24"/>
          <w:lang w:val="es-PA"/>
        </w:rPr>
        <w:t>Establecer el marco jurídico, ético y organizacional para garantizar la seguridad del paciente y la calidad de la atención en los servicios de salud públicos y privados.</w:t>
      </w:r>
    </w:p>
    <w:p w14:paraId="55366E9D" w14:textId="77777777" w:rsidR="00665A16" w:rsidRPr="00647E7B" w:rsidRDefault="00665A16" w:rsidP="00647E7B">
      <w:pPr>
        <w:pStyle w:val="Ttulo2"/>
        <w:rPr>
          <w:color w:val="000000" w:themeColor="text1"/>
          <w:lang w:val="es-PA"/>
        </w:rPr>
      </w:pPr>
      <w:r w:rsidRPr="00647E7B">
        <w:rPr>
          <w:color w:val="000000" w:themeColor="text1"/>
          <w:lang w:val="es-PA"/>
        </w:rPr>
        <w:lastRenderedPageBreak/>
        <w:t>Artículo 2. Definiciones.</w:t>
      </w:r>
    </w:p>
    <w:p w14:paraId="243E621E" w14:textId="77777777" w:rsidR="00665A16" w:rsidRPr="00D15B0F" w:rsidRDefault="00665A16" w:rsidP="00D74882">
      <w:pPr>
        <w:jc w:val="both"/>
        <w:rPr>
          <w:rFonts w:ascii="Arial" w:hAnsi="Arial" w:cs="Arial"/>
          <w:color w:val="000000" w:themeColor="text1"/>
          <w:szCs w:val="24"/>
          <w:lang w:val="es-PA"/>
        </w:rPr>
      </w:pPr>
      <w:r w:rsidRPr="00D15B0F">
        <w:rPr>
          <w:rFonts w:ascii="Arial" w:hAnsi="Arial" w:cs="Arial"/>
          <w:color w:val="000000" w:themeColor="text1"/>
          <w:szCs w:val="24"/>
          <w:lang w:val="es-PA"/>
        </w:rPr>
        <w:t>Se entenderá por seguridad del paciente, evento adverso, incidente sin daño, segunda víctima y cultura de calidad y seguridad.</w:t>
      </w:r>
    </w:p>
    <w:p w14:paraId="0846CDA7" w14:textId="77777777" w:rsidR="00665A16" w:rsidRPr="00647E7B" w:rsidRDefault="00665A16" w:rsidP="00647E7B">
      <w:pPr>
        <w:pStyle w:val="Ttulo2"/>
        <w:rPr>
          <w:color w:val="000000" w:themeColor="text1"/>
          <w:lang w:val="es-PA"/>
        </w:rPr>
      </w:pPr>
      <w:r w:rsidRPr="00647E7B">
        <w:rPr>
          <w:color w:val="000000" w:themeColor="text1"/>
          <w:lang w:val="es-PA"/>
        </w:rPr>
        <w:t>Artículo 3. Ámbito de aplicación.</w:t>
      </w:r>
    </w:p>
    <w:p w14:paraId="1F4C2E5A" w14:textId="77777777" w:rsidR="00665A16" w:rsidRPr="00D15B0F" w:rsidRDefault="00665A16" w:rsidP="00D74882">
      <w:pPr>
        <w:jc w:val="both"/>
        <w:rPr>
          <w:rFonts w:ascii="Arial" w:hAnsi="Arial" w:cs="Arial"/>
          <w:color w:val="000000" w:themeColor="text1"/>
          <w:szCs w:val="24"/>
          <w:lang w:val="es-PA"/>
        </w:rPr>
      </w:pPr>
      <w:r w:rsidRPr="00D15B0F">
        <w:rPr>
          <w:rFonts w:ascii="Arial" w:hAnsi="Arial" w:cs="Arial"/>
          <w:color w:val="000000" w:themeColor="text1"/>
          <w:szCs w:val="24"/>
          <w:lang w:val="es-PA"/>
        </w:rPr>
        <w:t>La presente Ley será de obligatorio cumplimiento para todas las instituciones y servicios de salud en el territorio nacional.</w:t>
      </w:r>
    </w:p>
    <w:p w14:paraId="42267EC4" w14:textId="77777777" w:rsidR="007A47EF" w:rsidRPr="00A27CAE" w:rsidRDefault="00665A16" w:rsidP="00647E7B">
      <w:pPr>
        <w:pStyle w:val="Ttulo1"/>
        <w:rPr>
          <w:color w:val="000000" w:themeColor="text1"/>
          <w:lang w:val="es-PA"/>
        </w:rPr>
      </w:pPr>
      <w:r w:rsidRPr="00A27CAE">
        <w:rPr>
          <w:color w:val="000000" w:themeColor="text1"/>
          <w:lang w:val="es-PA"/>
        </w:rPr>
        <w:t>TÍTULO II</w:t>
      </w:r>
    </w:p>
    <w:p w14:paraId="489AEC64" w14:textId="1981ED09" w:rsidR="00665A16" w:rsidRPr="002D3DF5" w:rsidRDefault="00665A16" w:rsidP="00D74882">
      <w:pPr>
        <w:jc w:val="both"/>
        <w:rPr>
          <w:rFonts w:ascii="Arial" w:hAnsi="Arial" w:cs="Arial"/>
          <w:color w:val="000000" w:themeColor="text1"/>
          <w:szCs w:val="24"/>
          <w:lang w:val="es-PA"/>
        </w:rPr>
      </w:pPr>
      <w:r w:rsidRPr="002D3DF5">
        <w:rPr>
          <w:rFonts w:ascii="Arial" w:hAnsi="Arial" w:cs="Arial"/>
          <w:color w:val="000000" w:themeColor="text1"/>
          <w:szCs w:val="24"/>
          <w:lang w:val="es-PA"/>
        </w:rPr>
        <w:t>Principios y Objetivos</w:t>
      </w:r>
      <w:r w:rsidR="007A47EF">
        <w:rPr>
          <w:rFonts w:ascii="Arial" w:hAnsi="Arial" w:cs="Arial"/>
          <w:color w:val="000000" w:themeColor="text1"/>
          <w:szCs w:val="24"/>
          <w:lang w:val="es-PA"/>
        </w:rPr>
        <w:t>.</w:t>
      </w:r>
    </w:p>
    <w:p w14:paraId="7A6B8CEB" w14:textId="77777777" w:rsidR="00665A16" w:rsidRPr="000C0B2B" w:rsidRDefault="00665A16" w:rsidP="000C0B2B">
      <w:pPr>
        <w:pStyle w:val="Ttulo2"/>
        <w:rPr>
          <w:color w:val="000000" w:themeColor="text1"/>
          <w:lang w:val="es-PA"/>
        </w:rPr>
      </w:pPr>
      <w:r w:rsidRPr="000C0B2B">
        <w:rPr>
          <w:color w:val="000000" w:themeColor="text1"/>
          <w:lang w:val="es-PA"/>
        </w:rPr>
        <w:t>Artículo 4. Principios rectores.</w:t>
      </w:r>
    </w:p>
    <w:p w14:paraId="0B0A1659" w14:textId="77777777" w:rsidR="00665A16" w:rsidRPr="00D15B0F" w:rsidRDefault="00665A16" w:rsidP="00D74882">
      <w:pPr>
        <w:jc w:val="both"/>
        <w:rPr>
          <w:rFonts w:ascii="Arial" w:hAnsi="Arial" w:cs="Arial"/>
          <w:color w:val="000000" w:themeColor="text1"/>
          <w:szCs w:val="24"/>
          <w:lang w:val="es-PA"/>
        </w:rPr>
      </w:pPr>
      <w:r w:rsidRPr="00D15B0F">
        <w:rPr>
          <w:rFonts w:ascii="Arial" w:hAnsi="Arial" w:cs="Arial"/>
          <w:color w:val="000000" w:themeColor="text1"/>
          <w:szCs w:val="24"/>
          <w:lang w:val="es-PA"/>
        </w:rPr>
        <w:t>Primacía del paciente, no maleficencia, aprender del error, responsabilidad compartida, transparencia y apoyo al profesional de salud.</w:t>
      </w:r>
    </w:p>
    <w:p w14:paraId="1D081B4B" w14:textId="77777777" w:rsidR="00665A16" w:rsidRPr="000C0B2B" w:rsidRDefault="00665A16" w:rsidP="000C0B2B">
      <w:pPr>
        <w:pStyle w:val="Ttulo2"/>
        <w:rPr>
          <w:color w:val="000000" w:themeColor="text1"/>
          <w:lang w:val="es-PA"/>
        </w:rPr>
      </w:pPr>
      <w:r w:rsidRPr="000C0B2B">
        <w:rPr>
          <w:color w:val="000000" w:themeColor="text1"/>
          <w:lang w:val="es-PA"/>
        </w:rPr>
        <w:t>Artículo 5. Objetivos de la Ley.</w:t>
      </w:r>
    </w:p>
    <w:p w14:paraId="5B0BC03F" w14:textId="00DBEF6A" w:rsidR="00665A16" w:rsidRPr="00D15B0F" w:rsidRDefault="00665A16" w:rsidP="00D74882">
      <w:pPr>
        <w:jc w:val="both"/>
        <w:rPr>
          <w:rFonts w:ascii="Arial" w:hAnsi="Arial" w:cs="Arial"/>
          <w:color w:val="000000" w:themeColor="text1"/>
          <w:szCs w:val="24"/>
          <w:lang w:val="es-PA"/>
        </w:rPr>
      </w:pPr>
      <w:r w:rsidRPr="00D15B0F">
        <w:rPr>
          <w:rFonts w:ascii="Arial" w:hAnsi="Arial" w:cs="Arial"/>
          <w:color w:val="000000" w:themeColor="text1"/>
          <w:szCs w:val="24"/>
          <w:lang w:val="es-PA"/>
        </w:rPr>
        <w:t xml:space="preserve">Establecer un marco integral, implementar </w:t>
      </w:r>
      <w:r w:rsidR="007A47EF" w:rsidRPr="00D15B0F">
        <w:rPr>
          <w:rFonts w:ascii="Arial" w:hAnsi="Arial" w:cs="Arial"/>
          <w:color w:val="000000" w:themeColor="text1"/>
          <w:szCs w:val="24"/>
          <w:lang w:val="es-PA"/>
        </w:rPr>
        <w:t xml:space="preserve">herramientas </w:t>
      </w:r>
      <w:r w:rsidRPr="00D15B0F">
        <w:rPr>
          <w:rFonts w:ascii="Arial" w:hAnsi="Arial" w:cs="Arial"/>
          <w:color w:val="000000" w:themeColor="text1"/>
          <w:szCs w:val="24"/>
          <w:lang w:val="es-PA"/>
        </w:rPr>
        <w:t>internacionales</w:t>
      </w:r>
      <w:r w:rsidR="007A47EF" w:rsidRPr="00D15B0F">
        <w:rPr>
          <w:rFonts w:ascii="Arial" w:hAnsi="Arial" w:cs="Arial"/>
          <w:color w:val="000000" w:themeColor="text1"/>
          <w:szCs w:val="24"/>
          <w:lang w:val="es-PA"/>
        </w:rPr>
        <w:t xml:space="preserve"> estandarizadas</w:t>
      </w:r>
      <w:r w:rsidRPr="00D15B0F">
        <w:rPr>
          <w:rFonts w:ascii="Arial" w:hAnsi="Arial" w:cs="Arial"/>
          <w:color w:val="000000" w:themeColor="text1"/>
          <w:szCs w:val="24"/>
          <w:lang w:val="es-PA"/>
        </w:rPr>
        <w:t>, crear sistemas de reporte, promover la cultura de seguridad, reducir costos, fortalecer capacitación e involucrar al paciente</w:t>
      </w:r>
      <w:r w:rsidR="002009F7" w:rsidRPr="00D15B0F">
        <w:rPr>
          <w:rFonts w:ascii="Arial" w:hAnsi="Arial" w:cs="Arial"/>
          <w:color w:val="000000" w:themeColor="text1"/>
          <w:szCs w:val="24"/>
          <w:lang w:val="es-PA"/>
        </w:rPr>
        <w:t xml:space="preserve"> en la toma de decisiones.</w:t>
      </w:r>
    </w:p>
    <w:p w14:paraId="0EE00837" w14:textId="77777777" w:rsidR="002009F7" w:rsidRPr="008B3BE5" w:rsidRDefault="00665A16" w:rsidP="008B3BE5">
      <w:pPr>
        <w:pStyle w:val="Ttulo1"/>
        <w:rPr>
          <w:color w:val="000000" w:themeColor="text1"/>
          <w:lang w:val="es-PA"/>
        </w:rPr>
      </w:pPr>
      <w:r w:rsidRPr="008B3BE5">
        <w:rPr>
          <w:color w:val="000000" w:themeColor="text1"/>
          <w:lang w:val="es-PA"/>
        </w:rPr>
        <w:t>TÍTULO III</w:t>
      </w:r>
    </w:p>
    <w:p w14:paraId="6CDB0CF9" w14:textId="43A7E987" w:rsidR="00665A16" w:rsidRPr="002D3DF5" w:rsidRDefault="00665A16" w:rsidP="00D74882">
      <w:pPr>
        <w:jc w:val="both"/>
        <w:rPr>
          <w:rFonts w:ascii="Arial" w:hAnsi="Arial" w:cs="Arial"/>
          <w:color w:val="000000" w:themeColor="text1"/>
          <w:szCs w:val="24"/>
          <w:lang w:val="es-PA"/>
        </w:rPr>
      </w:pPr>
      <w:r w:rsidRPr="002D3DF5">
        <w:rPr>
          <w:rFonts w:ascii="Arial" w:hAnsi="Arial" w:cs="Arial"/>
          <w:color w:val="000000" w:themeColor="text1"/>
          <w:szCs w:val="24"/>
          <w:lang w:val="es-PA"/>
        </w:rPr>
        <w:t>Mecanismos y Estructuras Institucionales</w:t>
      </w:r>
    </w:p>
    <w:p w14:paraId="2A8D8F5D" w14:textId="5100E13C" w:rsidR="00665A16" w:rsidRPr="008B3BE5" w:rsidRDefault="00665A16" w:rsidP="008B3BE5">
      <w:pPr>
        <w:pStyle w:val="Ttulo2"/>
        <w:rPr>
          <w:color w:val="000000" w:themeColor="text1"/>
          <w:lang w:val="es-PA"/>
        </w:rPr>
      </w:pPr>
      <w:r w:rsidRPr="008B3BE5">
        <w:rPr>
          <w:color w:val="000000" w:themeColor="text1"/>
          <w:lang w:val="es-PA"/>
        </w:rPr>
        <w:t xml:space="preserve">Artículo 6. Consejo Nacional de </w:t>
      </w:r>
      <w:r w:rsidR="00F315A5" w:rsidRPr="008B3BE5">
        <w:rPr>
          <w:color w:val="000000" w:themeColor="text1"/>
          <w:lang w:val="es-PA"/>
        </w:rPr>
        <w:t xml:space="preserve">Calidad y </w:t>
      </w:r>
      <w:r w:rsidRPr="008B3BE5">
        <w:rPr>
          <w:color w:val="000000" w:themeColor="text1"/>
          <w:lang w:val="es-PA"/>
        </w:rPr>
        <w:t>Seguridad del Paciente Atención</w:t>
      </w:r>
      <w:r w:rsidR="0015774C" w:rsidRPr="008B3BE5">
        <w:rPr>
          <w:color w:val="000000" w:themeColor="text1"/>
          <w:lang w:val="es-PA"/>
        </w:rPr>
        <w:t xml:space="preserve"> (CN</w:t>
      </w:r>
      <w:r w:rsidR="00F315A5" w:rsidRPr="008B3BE5">
        <w:rPr>
          <w:color w:val="000000" w:themeColor="text1"/>
          <w:lang w:val="es-PA"/>
        </w:rPr>
        <w:t>C</w:t>
      </w:r>
      <w:r w:rsidR="0015774C" w:rsidRPr="008B3BE5">
        <w:rPr>
          <w:color w:val="000000" w:themeColor="text1"/>
          <w:lang w:val="es-PA"/>
        </w:rPr>
        <w:t>S</w:t>
      </w:r>
      <w:r w:rsidR="00F315A5" w:rsidRPr="008B3BE5">
        <w:rPr>
          <w:color w:val="000000" w:themeColor="text1"/>
          <w:lang w:val="es-PA"/>
        </w:rPr>
        <w:t>P).</w:t>
      </w:r>
    </w:p>
    <w:p w14:paraId="13C1B3A3" w14:textId="27BABF45" w:rsidR="00665A16" w:rsidRPr="00D15B0F" w:rsidRDefault="00665A16" w:rsidP="00D74882">
      <w:pPr>
        <w:jc w:val="both"/>
        <w:rPr>
          <w:rFonts w:ascii="Arial" w:hAnsi="Arial" w:cs="Arial"/>
          <w:color w:val="000000" w:themeColor="text1"/>
          <w:szCs w:val="24"/>
          <w:lang w:val="es-PA"/>
        </w:rPr>
      </w:pPr>
      <w:r w:rsidRPr="00D15B0F">
        <w:rPr>
          <w:rFonts w:ascii="Arial" w:hAnsi="Arial" w:cs="Arial"/>
          <w:color w:val="000000" w:themeColor="text1"/>
          <w:szCs w:val="24"/>
          <w:lang w:val="es-PA"/>
        </w:rPr>
        <w:t>Órgano asesor y coordinador de políticas nacionales con participación de MINSA, CSS, Colegio Médico, sociedades científicas, universidades</w:t>
      </w:r>
      <w:r w:rsidR="008B1CCF" w:rsidRPr="00D15B0F">
        <w:rPr>
          <w:rFonts w:ascii="Arial" w:hAnsi="Arial" w:cs="Arial"/>
          <w:color w:val="000000" w:themeColor="text1"/>
          <w:szCs w:val="24"/>
          <w:lang w:val="es-PA"/>
        </w:rPr>
        <w:t>, sector privado de la salud</w:t>
      </w:r>
      <w:r w:rsidRPr="00D15B0F">
        <w:rPr>
          <w:rFonts w:ascii="Arial" w:hAnsi="Arial" w:cs="Arial"/>
          <w:color w:val="000000" w:themeColor="text1"/>
          <w:szCs w:val="24"/>
          <w:lang w:val="es-PA"/>
        </w:rPr>
        <w:t xml:space="preserve"> y representantes de pacientes.</w:t>
      </w:r>
    </w:p>
    <w:p w14:paraId="09152752" w14:textId="77777777" w:rsidR="00665A16" w:rsidRPr="008C783F" w:rsidRDefault="00665A16" w:rsidP="008C783F">
      <w:pPr>
        <w:pStyle w:val="Ttulo2"/>
        <w:rPr>
          <w:color w:val="000000" w:themeColor="text1"/>
          <w:lang w:val="es-PA"/>
        </w:rPr>
      </w:pPr>
      <w:r w:rsidRPr="008C783F">
        <w:rPr>
          <w:color w:val="000000" w:themeColor="text1"/>
          <w:lang w:val="es-PA"/>
        </w:rPr>
        <w:t>Artículo 7. Comités Institucionales de Seguridad del Paciente.</w:t>
      </w:r>
    </w:p>
    <w:p w14:paraId="0B92239F" w14:textId="11688600" w:rsidR="00665A16" w:rsidRPr="00D15B0F" w:rsidRDefault="00665A16" w:rsidP="00D74882">
      <w:pPr>
        <w:jc w:val="both"/>
        <w:rPr>
          <w:rFonts w:ascii="Arial" w:hAnsi="Arial" w:cs="Arial"/>
          <w:color w:val="000000" w:themeColor="text1"/>
          <w:szCs w:val="24"/>
          <w:lang w:val="es-PA"/>
        </w:rPr>
      </w:pPr>
      <w:r w:rsidRPr="00D15B0F">
        <w:rPr>
          <w:rFonts w:ascii="Arial" w:hAnsi="Arial" w:cs="Arial"/>
          <w:color w:val="000000" w:themeColor="text1"/>
          <w:szCs w:val="24"/>
          <w:lang w:val="es-PA"/>
        </w:rPr>
        <w:t>Cada hospital, clínica o centro de salud deberá contar con un comité que analice reportes, investigue causas y recomiende mejoras.</w:t>
      </w:r>
      <w:r w:rsidR="00B11A2B" w:rsidRPr="00D15B0F">
        <w:rPr>
          <w:rFonts w:ascii="Arial" w:hAnsi="Arial" w:cs="Arial"/>
          <w:color w:val="000000" w:themeColor="text1"/>
          <w:szCs w:val="24"/>
          <w:lang w:val="es-PA"/>
        </w:rPr>
        <w:t xml:space="preserve">  En las regiones donde no existan</w:t>
      </w:r>
      <w:r w:rsidR="00B206EB" w:rsidRPr="00D15B0F">
        <w:rPr>
          <w:rFonts w:ascii="Arial" w:hAnsi="Arial" w:cs="Arial"/>
          <w:color w:val="000000" w:themeColor="text1"/>
          <w:szCs w:val="24"/>
          <w:lang w:val="es-PA"/>
        </w:rPr>
        <w:t xml:space="preserve"> suficientes unidades, podrá existir comités conjuntos o regionales.</w:t>
      </w:r>
    </w:p>
    <w:p w14:paraId="006D5266" w14:textId="77777777" w:rsidR="00665A16" w:rsidRPr="008C783F" w:rsidRDefault="00665A16" w:rsidP="008C783F">
      <w:pPr>
        <w:pStyle w:val="Ttulo2"/>
        <w:rPr>
          <w:color w:val="000000" w:themeColor="text1"/>
          <w:lang w:val="es-PA"/>
        </w:rPr>
      </w:pPr>
      <w:r w:rsidRPr="008C783F">
        <w:rPr>
          <w:color w:val="000000" w:themeColor="text1"/>
          <w:lang w:val="es-PA"/>
        </w:rPr>
        <w:t>Artículo 8. Sistema Nacional de Reporte y Aprendizaje.</w:t>
      </w:r>
    </w:p>
    <w:p w14:paraId="7CFEB90A" w14:textId="26ED1BD4" w:rsidR="00665A16" w:rsidRPr="00D15B0F" w:rsidRDefault="00665A16" w:rsidP="00D74882">
      <w:pPr>
        <w:jc w:val="both"/>
        <w:rPr>
          <w:rFonts w:ascii="Arial" w:hAnsi="Arial" w:cs="Arial"/>
          <w:color w:val="000000" w:themeColor="text1"/>
          <w:szCs w:val="24"/>
          <w:lang w:val="es-PA"/>
        </w:rPr>
      </w:pPr>
      <w:r w:rsidRPr="00D15B0F">
        <w:rPr>
          <w:rFonts w:ascii="Arial" w:hAnsi="Arial" w:cs="Arial"/>
          <w:color w:val="000000" w:themeColor="text1"/>
          <w:szCs w:val="24"/>
          <w:lang w:val="es-PA"/>
        </w:rPr>
        <w:t>Sistema confidencial, no punitivo y accesible, inspirado en la aviación, con protección legal para los reportantes.</w:t>
      </w:r>
      <w:r w:rsidR="009F14DA" w:rsidRPr="00D15B0F">
        <w:rPr>
          <w:rFonts w:ascii="Arial" w:hAnsi="Arial" w:cs="Arial"/>
          <w:color w:val="000000" w:themeColor="text1"/>
          <w:szCs w:val="24"/>
          <w:lang w:val="es-PA"/>
        </w:rPr>
        <w:t xml:space="preserve">  Su </w:t>
      </w:r>
      <w:r w:rsidR="0015774C" w:rsidRPr="00D15B0F">
        <w:rPr>
          <w:rFonts w:ascii="Arial" w:hAnsi="Arial" w:cs="Arial"/>
          <w:color w:val="000000" w:themeColor="text1"/>
          <w:szCs w:val="24"/>
          <w:lang w:val="es-PA"/>
        </w:rPr>
        <w:t>administración y manejo corresponde a</w:t>
      </w:r>
      <w:r w:rsidR="0071563E" w:rsidRPr="00D15B0F">
        <w:rPr>
          <w:rFonts w:ascii="Arial" w:hAnsi="Arial" w:cs="Arial"/>
          <w:color w:val="000000" w:themeColor="text1"/>
          <w:szCs w:val="24"/>
          <w:lang w:val="es-PA"/>
        </w:rPr>
        <w:t xml:space="preserve">l </w:t>
      </w:r>
      <w:r w:rsidR="0071563E">
        <w:rPr>
          <w:rFonts w:ascii="Arial" w:hAnsi="Arial" w:cs="Arial"/>
          <w:color w:val="000000" w:themeColor="text1"/>
          <w:szCs w:val="24"/>
          <w:lang w:val="es-PA"/>
        </w:rPr>
        <w:lastRenderedPageBreak/>
        <w:t xml:space="preserve">CNCSP que se encargará de publicar los datos necesarios para dirigir políticas y </w:t>
      </w:r>
      <w:r w:rsidR="007B5BE3">
        <w:rPr>
          <w:rFonts w:ascii="Arial" w:hAnsi="Arial" w:cs="Arial"/>
          <w:color w:val="000000" w:themeColor="text1"/>
          <w:szCs w:val="24"/>
          <w:lang w:val="es-PA"/>
        </w:rPr>
        <w:t>tomar decisiones basadas en información.</w:t>
      </w:r>
    </w:p>
    <w:p w14:paraId="530DB85B" w14:textId="77777777" w:rsidR="00665A16" w:rsidRPr="008C783F" w:rsidRDefault="00665A16" w:rsidP="008C783F">
      <w:pPr>
        <w:pStyle w:val="Ttulo2"/>
        <w:rPr>
          <w:color w:val="000000" w:themeColor="text1"/>
          <w:lang w:val="es-PA"/>
        </w:rPr>
      </w:pPr>
      <w:r w:rsidRPr="008C783F">
        <w:rPr>
          <w:color w:val="000000" w:themeColor="text1"/>
          <w:lang w:val="es-PA"/>
        </w:rPr>
        <w:t>Artículo 9. Indicadores de Calidad y Seguridad.</w:t>
      </w:r>
    </w:p>
    <w:p w14:paraId="50666CE0" w14:textId="7A7014F5" w:rsidR="00665A16" w:rsidRPr="00D15B0F" w:rsidRDefault="00665A16" w:rsidP="00D74882">
      <w:pPr>
        <w:jc w:val="both"/>
        <w:rPr>
          <w:rFonts w:ascii="Arial" w:hAnsi="Arial" w:cs="Arial"/>
          <w:color w:val="000000" w:themeColor="text1"/>
          <w:szCs w:val="24"/>
          <w:lang w:val="es-PA"/>
        </w:rPr>
      </w:pPr>
      <w:r w:rsidRPr="00D15B0F">
        <w:rPr>
          <w:rFonts w:ascii="Arial" w:hAnsi="Arial" w:cs="Arial"/>
          <w:color w:val="000000" w:themeColor="text1"/>
          <w:szCs w:val="24"/>
          <w:lang w:val="es-PA"/>
        </w:rPr>
        <w:t>El MINSA</w:t>
      </w:r>
      <w:r w:rsidR="001C1C0F" w:rsidRPr="00D15B0F">
        <w:rPr>
          <w:rFonts w:ascii="Arial" w:hAnsi="Arial" w:cs="Arial"/>
          <w:color w:val="000000" w:themeColor="text1"/>
          <w:szCs w:val="24"/>
          <w:lang w:val="es-PA"/>
        </w:rPr>
        <w:t xml:space="preserve"> y el</w:t>
      </w:r>
      <w:r w:rsidR="001C1C0F" w:rsidRPr="001C1C0F">
        <w:rPr>
          <w:rFonts w:ascii="Arial" w:hAnsi="Arial" w:cs="Arial"/>
          <w:color w:val="000000" w:themeColor="text1"/>
          <w:szCs w:val="24"/>
          <w:lang w:val="es-PA"/>
        </w:rPr>
        <w:t xml:space="preserve"> </w:t>
      </w:r>
      <w:r w:rsidR="001C1C0F">
        <w:rPr>
          <w:rFonts w:ascii="Arial" w:hAnsi="Arial" w:cs="Arial"/>
          <w:color w:val="000000" w:themeColor="text1"/>
          <w:szCs w:val="24"/>
          <w:lang w:val="es-PA"/>
        </w:rPr>
        <w:t>CNCSP</w:t>
      </w:r>
      <w:r w:rsidRPr="00D15B0F">
        <w:rPr>
          <w:rFonts w:ascii="Arial" w:hAnsi="Arial" w:cs="Arial"/>
          <w:color w:val="000000" w:themeColor="text1"/>
          <w:szCs w:val="24"/>
          <w:lang w:val="es-PA"/>
        </w:rPr>
        <w:t xml:space="preserve"> definirá</w:t>
      </w:r>
      <w:r w:rsidR="00A011A5" w:rsidRPr="00D15B0F">
        <w:rPr>
          <w:rFonts w:ascii="Arial" w:hAnsi="Arial" w:cs="Arial"/>
          <w:color w:val="000000" w:themeColor="text1"/>
          <w:szCs w:val="24"/>
          <w:lang w:val="es-PA"/>
        </w:rPr>
        <w:t xml:space="preserve">n </w:t>
      </w:r>
      <w:r w:rsidRPr="00D15B0F">
        <w:rPr>
          <w:rFonts w:ascii="Arial" w:hAnsi="Arial" w:cs="Arial"/>
          <w:color w:val="000000" w:themeColor="text1"/>
          <w:szCs w:val="24"/>
          <w:lang w:val="es-PA"/>
        </w:rPr>
        <w:t>indicadores obligatorios</w:t>
      </w:r>
      <w:r w:rsidR="00A011A5" w:rsidRPr="00D15B0F">
        <w:rPr>
          <w:rFonts w:ascii="Arial" w:hAnsi="Arial" w:cs="Arial"/>
          <w:color w:val="000000" w:themeColor="text1"/>
          <w:szCs w:val="24"/>
          <w:lang w:val="es-PA"/>
        </w:rPr>
        <w:t xml:space="preserve"> de reportaje por todas las unidades de atención </w:t>
      </w:r>
      <w:r w:rsidRPr="00D15B0F">
        <w:rPr>
          <w:rFonts w:ascii="Arial" w:hAnsi="Arial" w:cs="Arial"/>
          <w:color w:val="000000" w:themeColor="text1"/>
          <w:szCs w:val="24"/>
          <w:lang w:val="es-PA"/>
        </w:rPr>
        <w:t xml:space="preserve">como tasa de eventos adversos prevenibles, cumplimiento de </w:t>
      </w:r>
      <w:r w:rsidR="008B78F1" w:rsidRPr="00D15B0F">
        <w:rPr>
          <w:rFonts w:ascii="Arial" w:hAnsi="Arial" w:cs="Arial"/>
          <w:color w:val="000000" w:themeColor="text1"/>
          <w:szCs w:val="24"/>
          <w:lang w:val="es-PA"/>
        </w:rPr>
        <w:t>metas internacionales de seguridad del paciente</w:t>
      </w:r>
      <w:r w:rsidRPr="00D15B0F">
        <w:rPr>
          <w:rFonts w:ascii="Arial" w:hAnsi="Arial" w:cs="Arial"/>
          <w:color w:val="000000" w:themeColor="text1"/>
          <w:szCs w:val="24"/>
          <w:lang w:val="es-PA"/>
        </w:rPr>
        <w:t>,</w:t>
      </w:r>
      <w:r w:rsidR="008B78F1" w:rsidRPr="00D15B0F">
        <w:rPr>
          <w:rFonts w:ascii="Arial" w:hAnsi="Arial" w:cs="Arial"/>
          <w:color w:val="000000" w:themeColor="text1"/>
          <w:szCs w:val="24"/>
          <w:lang w:val="es-PA"/>
        </w:rPr>
        <w:t xml:space="preserve"> acreditación y </w:t>
      </w:r>
      <w:r w:rsidR="006A7878" w:rsidRPr="00D15B0F">
        <w:rPr>
          <w:rFonts w:ascii="Arial" w:hAnsi="Arial" w:cs="Arial"/>
          <w:color w:val="000000" w:themeColor="text1"/>
          <w:szCs w:val="24"/>
          <w:lang w:val="es-PA"/>
        </w:rPr>
        <w:t>Recertificacion de instituciones y profesionales entre otros.</w:t>
      </w:r>
    </w:p>
    <w:p w14:paraId="046BA3D9" w14:textId="77777777" w:rsidR="00665A16" w:rsidRPr="008C783F" w:rsidRDefault="00665A16" w:rsidP="008C783F">
      <w:pPr>
        <w:pStyle w:val="Ttulo2"/>
        <w:rPr>
          <w:color w:val="000000" w:themeColor="text1"/>
          <w:lang w:val="es-PA"/>
        </w:rPr>
      </w:pPr>
      <w:r w:rsidRPr="008C783F">
        <w:rPr>
          <w:color w:val="000000" w:themeColor="text1"/>
          <w:lang w:val="es-PA"/>
        </w:rPr>
        <w:t>Artículo 10. Formación y Capacitación.</w:t>
      </w:r>
    </w:p>
    <w:p w14:paraId="30796079" w14:textId="0FFD8315" w:rsidR="00665A16" w:rsidRPr="00D15B0F" w:rsidRDefault="00665A16" w:rsidP="00D74882">
      <w:pPr>
        <w:jc w:val="both"/>
        <w:rPr>
          <w:rFonts w:ascii="Arial" w:hAnsi="Arial" w:cs="Arial"/>
          <w:color w:val="000000" w:themeColor="text1"/>
          <w:szCs w:val="24"/>
          <w:lang w:val="es-PA"/>
        </w:rPr>
      </w:pPr>
      <w:r w:rsidRPr="00D15B0F">
        <w:rPr>
          <w:rFonts w:ascii="Arial" w:hAnsi="Arial" w:cs="Arial"/>
          <w:color w:val="000000" w:themeColor="text1"/>
          <w:szCs w:val="24"/>
          <w:lang w:val="es-PA"/>
        </w:rPr>
        <w:t>Las instituciones deberán implementar programas permanentes de formación en seguridad del paciente y calidad de atención</w:t>
      </w:r>
      <w:r w:rsidR="006A7878" w:rsidRPr="00D15B0F">
        <w:rPr>
          <w:rFonts w:ascii="Arial" w:hAnsi="Arial" w:cs="Arial"/>
          <w:color w:val="000000" w:themeColor="text1"/>
          <w:szCs w:val="24"/>
          <w:lang w:val="es-PA"/>
        </w:rPr>
        <w:t xml:space="preserve"> basados en las </w:t>
      </w:r>
      <w:r w:rsidR="00961CC1" w:rsidRPr="00D15B0F">
        <w:rPr>
          <w:rFonts w:ascii="Arial" w:hAnsi="Arial" w:cs="Arial"/>
          <w:color w:val="000000" w:themeColor="text1"/>
          <w:szCs w:val="24"/>
          <w:lang w:val="es-PA"/>
        </w:rPr>
        <w:t xml:space="preserve">recomendaciones del </w:t>
      </w:r>
      <w:r w:rsidR="00961CC1">
        <w:rPr>
          <w:rFonts w:ascii="Arial" w:hAnsi="Arial" w:cs="Arial"/>
          <w:color w:val="000000" w:themeColor="text1"/>
          <w:szCs w:val="24"/>
          <w:lang w:val="es-PA"/>
        </w:rPr>
        <w:t>CNCSP y de iniciativa propia.</w:t>
      </w:r>
    </w:p>
    <w:p w14:paraId="40D6B5F2" w14:textId="77777777" w:rsidR="00961CC1" w:rsidRPr="00355013" w:rsidRDefault="00665A16" w:rsidP="00355013">
      <w:pPr>
        <w:pStyle w:val="Ttulo1"/>
        <w:rPr>
          <w:color w:val="000000" w:themeColor="text1"/>
          <w:lang w:val="es-PA"/>
        </w:rPr>
      </w:pPr>
      <w:r w:rsidRPr="00355013">
        <w:rPr>
          <w:color w:val="000000" w:themeColor="text1"/>
          <w:lang w:val="es-PA"/>
        </w:rPr>
        <w:t>TÍTULO IV</w:t>
      </w:r>
    </w:p>
    <w:p w14:paraId="3B76D4FA" w14:textId="080EC92D" w:rsidR="00665A16" w:rsidRPr="002D3DF5" w:rsidRDefault="00665A16" w:rsidP="00D74882">
      <w:pPr>
        <w:jc w:val="both"/>
        <w:rPr>
          <w:rFonts w:ascii="Arial" w:hAnsi="Arial" w:cs="Arial"/>
          <w:color w:val="000000" w:themeColor="text1"/>
          <w:szCs w:val="24"/>
          <w:lang w:val="es-PA"/>
        </w:rPr>
      </w:pPr>
      <w:r w:rsidRPr="002D3DF5">
        <w:rPr>
          <w:rFonts w:ascii="Arial" w:hAnsi="Arial" w:cs="Arial"/>
          <w:color w:val="000000" w:themeColor="text1"/>
          <w:szCs w:val="24"/>
          <w:lang w:val="es-PA"/>
        </w:rPr>
        <w:t>Responsabilidades, Derechos y Deberes</w:t>
      </w:r>
    </w:p>
    <w:p w14:paraId="58D55E8C" w14:textId="77777777" w:rsidR="00665A16" w:rsidRPr="00355013" w:rsidRDefault="00665A16" w:rsidP="00355013">
      <w:pPr>
        <w:pStyle w:val="Ttulo2"/>
        <w:rPr>
          <w:color w:val="000000" w:themeColor="text1"/>
          <w:lang w:val="es-PA"/>
        </w:rPr>
      </w:pPr>
      <w:r w:rsidRPr="00355013">
        <w:rPr>
          <w:color w:val="000000" w:themeColor="text1"/>
          <w:lang w:val="es-PA"/>
        </w:rPr>
        <w:t>Artículo 11. Responsabilidades de las instituciones de salud.</w:t>
      </w:r>
    </w:p>
    <w:p w14:paraId="0C991800" w14:textId="6C6EDB7C" w:rsidR="00665A16" w:rsidRPr="00D15B0F" w:rsidRDefault="00665A16" w:rsidP="00D74882">
      <w:pPr>
        <w:jc w:val="both"/>
        <w:rPr>
          <w:rFonts w:ascii="Arial" w:hAnsi="Arial" w:cs="Arial"/>
          <w:color w:val="000000" w:themeColor="text1"/>
          <w:szCs w:val="24"/>
          <w:lang w:val="es-PA"/>
        </w:rPr>
      </w:pPr>
      <w:r w:rsidRPr="00D15B0F">
        <w:rPr>
          <w:rFonts w:ascii="Arial" w:hAnsi="Arial" w:cs="Arial"/>
          <w:color w:val="000000" w:themeColor="text1"/>
          <w:szCs w:val="24"/>
          <w:lang w:val="es-PA"/>
        </w:rPr>
        <w:t>Implementar</w:t>
      </w:r>
      <w:r w:rsidR="0019276F" w:rsidRPr="00D15B0F">
        <w:rPr>
          <w:rFonts w:ascii="Arial" w:hAnsi="Arial" w:cs="Arial"/>
          <w:color w:val="000000" w:themeColor="text1"/>
          <w:szCs w:val="24"/>
          <w:lang w:val="es-PA"/>
        </w:rPr>
        <w:t xml:space="preserve"> plan de acreditación nacional o internacional según establezca </w:t>
      </w:r>
      <w:r w:rsidR="00A870E4" w:rsidRPr="00D15B0F">
        <w:rPr>
          <w:rFonts w:ascii="Arial" w:hAnsi="Arial" w:cs="Arial"/>
          <w:color w:val="000000" w:themeColor="text1"/>
          <w:szCs w:val="24"/>
          <w:lang w:val="es-PA"/>
        </w:rPr>
        <w:t>el</w:t>
      </w:r>
      <w:r w:rsidR="00A870E4" w:rsidRPr="00A870E4">
        <w:rPr>
          <w:rFonts w:ascii="Arial" w:hAnsi="Arial" w:cs="Arial"/>
          <w:color w:val="000000" w:themeColor="text1"/>
          <w:szCs w:val="24"/>
          <w:lang w:val="es-PA"/>
        </w:rPr>
        <w:t xml:space="preserve"> </w:t>
      </w:r>
      <w:r w:rsidR="00A870E4">
        <w:rPr>
          <w:rFonts w:ascii="Arial" w:hAnsi="Arial" w:cs="Arial"/>
          <w:color w:val="000000" w:themeColor="text1"/>
          <w:szCs w:val="24"/>
          <w:lang w:val="es-PA"/>
        </w:rPr>
        <w:t>CNCSP</w:t>
      </w:r>
      <w:r w:rsidR="00A870E4" w:rsidRPr="00D15B0F">
        <w:rPr>
          <w:rFonts w:ascii="Arial" w:hAnsi="Arial" w:cs="Arial"/>
          <w:color w:val="000000" w:themeColor="text1"/>
          <w:szCs w:val="24"/>
          <w:lang w:val="es-PA"/>
        </w:rPr>
        <w:t xml:space="preserve">, </w:t>
      </w:r>
      <w:r w:rsidRPr="00D15B0F">
        <w:rPr>
          <w:rFonts w:ascii="Arial" w:hAnsi="Arial" w:cs="Arial"/>
          <w:color w:val="000000" w:themeColor="text1"/>
          <w:szCs w:val="24"/>
          <w:lang w:val="es-PA"/>
        </w:rPr>
        <w:t>protocolos, establecer comités, garantizar sistemas de reporte,</w:t>
      </w:r>
      <w:r w:rsidR="007E23B7" w:rsidRPr="00D15B0F">
        <w:rPr>
          <w:rFonts w:ascii="Arial" w:hAnsi="Arial" w:cs="Arial"/>
          <w:color w:val="000000" w:themeColor="text1"/>
          <w:szCs w:val="24"/>
          <w:lang w:val="es-PA"/>
        </w:rPr>
        <w:t xml:space="preserve"> remitir y</w:t>
      </w:r>
      <w:r w:rsidRPr="00D15B0F">
        <w:rPr>
          <w:rFonts w:ascii="Arial" w:hAnsi="Arial" w:cs="Arial"/>
          <w:color w:val="000000" w:themeColor="text1"/>
          <w:szCs w:val="24"/>
          <w:lang w:val="es-PA"/>
        </w:rPr>
        <w:t xml:space="preserve"> publicar indicadores, capacitar al personal y brindar apoyo a pacientes y profesionales.</w:t>
      </w:r>
      <w:r w:rsidR="007E23B7" w:rsidRPr="00D15B0F">
        <w:rPr>
          <w:rFonts w:ascii="Arial" w:hAnsi="Arial" w:cs="Arial"/>
          <w:color w:val="000000" w:themeColor="text1"/>
          <w:szCs w:val="24"/>
          <w:lang w:val="es-PA"/>
        </w:rPr>
        <w:t>m y otros que se establezcan por reglamentaciones.</w:t>
      </w:r>
    </w:p>
    <w:p w14:paraId="683A6421" w14:textId="77777777" w:rsidR="00665A16" w:rsidRPr="00355013" w:rsidRDefault="00665A16" w:rsidP="00355013">
      <w:pPr>
        <w:pStyle w:val="Ttulo2"/>
        <w:rPr>
          <w:color w:val="000000" w:themeColor="text1"/>
          <w:lang w:val="es-PA"/>
        </w:rPr>
      </w:pPr>
      <w:r w:rsidRPr="00355013">
        <w:rPr>
          <w:color w:val="000000" w:themeColor="text1"/>
          <w:lang w:val="es-PA"/>
        </w:rPr>
        <w:t>Artículo 12. Responsabilidades de los profesionales de la salud.</w:t>
      </w:r>
    </w:p>
    <w:p w14:paraId="232045AB" w14:textId="4FD47AAA" w:rsidR="00665A16" w:rsidRPr="00D15B0F" w:rsidRDefault="00477D18" w:rsidP="00D74882">
      <w:pPr>
        <w:jc w:val="both"/>
        <w:rPr>
          <w:rFonts w:ascii="Arial" w:hAnsi="Arial" w:cs="Arial"/>
          <w:color w:val="000000" w:themeColor="text1"/>
          <w:szCs w:val="24"/>
          <w:lang w:val="es-PA"/>
        </w:rPr>
      </w:pPr>
      <w:r w:rsidRPr="00D15B0F">
        <w:rPr>
          <w:rFonts w:ascii="Arial" w:hAnsi="Arial" w:cs="Arial"/>
          <w:color w:val="000000" w:themeColor="text1"/>
          <w:szCs w:val="24"/>
          <w:lang w:val="es-PA"/>
        </w:rPr>
        <w:t xml:space="preserve">Mantener certificaciones y recertificaciones. </w:t>
      </w:r>
      <w:r w:rsidR="00665A16" w:rsidRPr="00D15B0F">
        <w:rPr>
          <w:rFonts w:ascii="Arial" w:hAnsi="Arial" w:cs="Arial"/>
          <w:color w:val="000000" w:themeColor="text1"/>
          <w:szCs w:val="24"/>
          <w:lang w:val="es-PA"/>
        </w:rPr>
        <w:t>Cumplir protocolos, reportar incidentes, mantener comunicación clara, participar en capacitaciones y colaborar en planes de mejora.</w:t>
      </w:r>
    </w:p>
    <w:p w14:paraId="281D7861" w14:textId="77777777" w:rsidR="00665A16" w:rsidRPr="00355013" w:rsidRDefault="00665A16" w:rsidP="00355013">
      <w:pPr>
        <w:pStyle w:val="Ttulo2"/>
        <w:rPr>
          <w:color w:val="000000" w:themeColor="text1"/>
          <w:lang w:val="es-PA"/>
        </w:rPr>
      </w:pPr>
      <w:r w:rsidRPr="00355013">
        <w:rPr>
          <w:color w:val="000000" w:themeColor="text1"/>
          <w:lang w:val="es-PA"/>
        </w:rPr>
        <w:t>Artículo 13. Derechos de los pacientes.</w:t>
      </w:r>
    </w:p>
    <w:p w14:paraId="0D9FF11E" w14:textId="357A97A1" w:rsidR="00665A16" w:rsidRPr="00D15B0F" w:rsidRDefault="00665A16" w:rsidP="00D74882">
      <w:pPr>
        <w:jc w:val="both"/>
        <w:rPr>
          <w:rFonts w:ascii="Arial" w:hAnsi="Arial" w:cs="Arial"/>
          <w:color w:val="000000" w:themeColor="text1"/>
          <w:szCs w:val="24"/>
          <w:lang w:val="es-PA"/>
        </w:rPr>
      </w:pPr>
      <w:r w:rsidRPr="00D15B0F">
        <w:rPr>
          <w:rFonts w:ascii="Arial" w:hAnsi="Arial" w:cs="Arial"/>
          <w:color w:val="000000" w:themeColor="text1"/>
          <w:szCs w:val="24"/>
          <w:lang w:val="es-PA"/>
        </w:rPr>
        <w:t xml:space="preserve">Recibir atención segura, ser identificado correctamente, recibir información clara, participar en </w:t>
      </w:r>
      <w:r w:rsidR="004060AB" w:rsidRPr="00D15B0F">
        <w:rPr>
          <w:rFonts w:ascii="Arial" w:hAnsi="Arial" w:cs="Arial"/>
          <w:color w:val="000000" w:themeColor="text1"/>
          <w:szCs w:val="24"/>
          <w:lang w:val="es-PA"/>
        </w:rPr>
        <w:t xml:space="preserve">comités y ser parte de las </w:t>
      </w:r>
      <w:r w:rsidRPr="00D15B0F">
        <w:rPr>
          <w:rFonts w:ascii="Arial" w:hAnsi="Arial" w:cs="Arial"/>
          <w:color w:val="000000" w:themeColor="text1"/>
          <w:szCs w:val="24"/>
          <w:lang w:val="es-PA"/>
        </w:rPr>
        <w:t>decisiones, conocer protocolos, ser informado de eventos adversos y colaborar en prevención.</w:t>
      </w:r>
    </w:p>
    <w:p w14:paraId="4BF1B123" w14:textId="77777777" w:rsidR="00665A16" w:rsidRPr="00355013" w:rsidRDefault="00665A16" w:rsidP="00355013">
      <w:pPr>
        <w:pStyle w:val="Ttulo2"/>
        <w:rPr>
          <w:color w:val="000000" w:themeColor="text1"/>
          <w:lang w:val="es-PA"/>
        </w:rPr>
      </w:pPr>
      <w:r w:rsidRPr="00355013">
        <w:rPr>
          <w:color w:val="000000" w:themeColor="text1"/>
          <w:lang w:val="es-PA"/>
        </w:rPr>
        <w:t>Artículo 14. Derechos de los profesionales como segunda víctima.</w:t>
      </w:r>
    </w:p>
    <w:p w14:paraId="1225701F" w14:textId="002A0B82" w:rsidR="00665A16" w:rsidRPr="00D15B0F" w:rsidRDefault="00665A16" w:rsidP="00D74882">
      <w:pPr>
        <w:jc w:val="both"/>
        <w:rPr>
          <w:rFonts w:ascii="Arial" w:hAnsi="Arial" w:cs="Arial"/>
          <w:color w:val="000000" w:themeColor="text1"/>
          <w:szCs w:val="24"/>
          <w:lang w:val="es-PA"/>
        </w:rPr>
      </w:pPr>
      <w:r w:rsidRPr="00D15B0F">
        <w:rPr>
          <w:rFonts w:ascii="Arial" w:hAnsi="Arial" w:cs="Arial"/>
          <w:color w:val="000000" w:themeColor="text1"/>
          <w:szCs w:val="24"/>
          <w:lang w:val="es-PA"/>
        </w:rPr>
        <w:t xml:space="preserve">Recibir apoyo psicológico, capacitación, protección </w:t>
      </w:r>
      <w:r w:rsidR="003722FE" w:rsidRPr="00D15B0F">
        <w:rPr>
          <w:rFonts w:ascii="Arial" w:hAnsi="Arial" w:cs="Arial"/>
          <w:color w:val="000000" w:themeColor="text1"/>
          <w:szCs w:val="24"/>
          <w:lang w:val="es-PA"/>
        </w:rPr>
        <w:t xml:space="preserve">contra la violencia o </w:t>
      </w:r>
      <w:r w:rsidR="00830B0A" w:rsidRPr="00D15B0F">
        <w:rPr>
          <w:rFonts w:ascii="Arial" w:hAnsi="Arial" w:cs="Arial"/>
          <w:color w:val="000000" w:themeColor="text1"/>
          <w:szCs w:val="24"/>
          <w:lang w:val="es-PA"/>
        </w:rPr>
        <w:t xml:space="preserve">ser castigados por reportar eventos o situaciones y </w:t>
      </w:r>
      <w:r w:rsidRPr="00D15B0F">
        <w:rPr>
          <w:rFonts w:ascii="Arial" w:hAnsi="Arial" w:cs="Arial"/>
          <w:color w:val="000000" w:themeColor="text1"/>
          <w:szCs w:val="24"/>
          <w:lang w:val="es-PA"/>
        </w:rPr>
        <w:t>participación en procesos de mejora.</w:t>
      </w:r>
    </w:p>
    <w:p w14:paraId="414B1806" w14:textId="77777777" w:rsidR="00665A16" w:rsidRPr="00355013" w:rsidRDefault="00665A16" w:rsidP="00355013">
      <w:pPr>
        <w:pStyle w:val="Ttulo2"/>
        <w:rPr>
          <w:color w:val="000000" w:themeColor="text1"/>
          <w:lang w:val="es-PA"/>
        </w:rPr>
      </w:pPr>
      <w:r w:rsidRPr="00355013">
        <w:rPr>
          <w:color w:val="000000" w:themeColor="text1"/>
          <w:lang w:val="es-PA"/>
        </w:rPr>
        <w:lastRenderedPageBreak/>
        <w:t>Artículo 15. Deberes de los pacientes y familiares.</w:t>
      </w:r>
    </w:p>
    <w:p w14:paraId="78E571F2" w14:textId="45146969" w:rsidR="00665A16" w:rsidRPr="00D15B0F" w:rsidRDefault="00665A16" w:rsidP="00D74882">
      <w:pPr>
        <w:jc w:val="both"/>
        <w:rPr>
          <w:rFonts w:ascii="Arial" w:hAnsi="Arial" w:cs="Arial"/>
          <w:color w:val="000000" w:themeColor="text1"/>
          <w:szCs w:val="24"/>
          <w:lang w:val="es-PA"/>
        </w:rPr>
      </w:pPr>
      <w:r w:rsidRPr="00D15B0F">
        <w:rPr>
          <w:rFonts w:ascii="Arial" w:hAnsi="Arial" w:cs="Arial"/>
          <w:color w:val="000000" w:themeColor="text1"/>
          <w:szCs w:val="24"/>
          <w:lang w:val="es-PA"/>
        </w:rPr>
        <w:t>Proporcionar información veraz, cumplir recomendaciones, colaborar en identificación</w:t>
      </w:r>
      <w:r w:rsidR="00F570E3" w:rsidRPr="00D15B0F">
        <w:rPr>
          <w:rFonts w:ascii="Arial" w:hAnsi="Arial" w:cs="Arial"/>
          <w:color w:val="000000" w:themeColor="text1"/>
          <w:szCs w:val="24"/>
          <w:lang w:val="es-PA"/>
        </w:rPr>
        <w:t xml:space="preserve"> de posibles riesgos </w:t>
      </w:r>
      <w:r w:rsidRPr="00D15B0F">
        <w:rPr>
          <w:rFonts w:ascii="Arial" w:hAnsi="Arial" w:cs="Arial"/>
          <w:color w:val="000000" w:themeColor="text1"/>
          <w:szCs w:val="24"/>
          <w:lang w:val="es-PA"/>
        </w:rPr>
        <w:t>y respetar normas institucionales.</w:t>
      </w:r>
    </w:p>
    <w:p w14:paraId="57B9ED2B" w14:textId="77777777" w:rsidR="00F570E3" w:rsidRPr="00355013" w:rsidRDefault="00665A16" w:rsidP="00355013">
      <w:pPr>
        <w:pStyle w:val="Ttulo1"/>
        <w:rPr>
          <w:color w:val="000000" w:themeColor="text1"/>
          <w:lang w:val="es-PA"/>
        </w:rPr>
      </w:pPr>
      <w:r w:rsidRPr="00355013">
        <w:rPr>
          <w:color w:val="000000" w:themeColor="text1"/>
          <w:lang w:val="es-PA"/>
        </w:rPr>
        <w:t>TÍTULO V</w:t>
      </w:r>
    </w:p>
    <w:p w14:paraId="155153F7" w14:textId="12CC61C4" w:rsidR="00665A16" w:rsidRPr="002D3DF5" w:rsidRDefault="00665A16" w:rsidP="00D74882">
      <w:pPr>
        <w:jc w:val="both"/>
        <w:rPr>
          <w:rFonts w:ascii="Arial" w:hAnsi="Arial" w:cs="Arial"/>
          <w:color w:val="000000" w:themeColor="text1"/>
          <w:szCs w:val="24"/>
          <w:lang w:val="es-PA"/>
        </w:rPr>
      </w:pPr>
      <w:r w:rsidRPr="002D3DF5">
        <w:rPr>
          <w:rFonts w:ascii="Arial" w:hAnsi="Arial" w:cs="Arial"/>
          <w:color w:val="000000" w:themeColor="text1"/>
          <w:szCs w:val="24"/>
          <w:lang w:val="es-PA"/>
        </w:rPr>
        <w:t>Régimen de Supervisión, Incentivos y Sanciones</w:t>
      </w:r>
    </w:p>
    <w:p w14:paraId="6C0EF8BA" w14:textId="77777777" w:rsidR="00665A16" w:rsidRPr="0079352D" w:rsidRDefault="00665A16" w:rsidP="00355013">
      <w:pPr>
        <w:pStyle w:val="Ttulo2"/>
        <w:rPr>
          <w:color w:val="000000" w:themeColor="text1"/>
          <w:lang w:val="es-PA"/>
        </w:rPr>
      </w:pPr>
      <w:r w:rsidRPr="0079352D">
        <w:rPr>
          <w:color w:val="000000" w:themeColor="text1"/>
          <w:lang w:val="es-PA"/>
        </w:rPr>
        <w:t>Artículo 16. Supervisión y evaluación.</w:t>
      </w:r>
    </w:p>
    <w:p w14:paraId="1568FB26" w14:textId="6465BECA" w:rsidR="00665A16" w:rsidRPr="00D15B0F" w:rsidRDefault="00665A16" w:rsidP="00D74882">
      <w:pPr>
        <w:jc w:val="both"/>
        <w:rPr>
          <w:rFonts w:ascii="Arial" w:hAnsi="Arial" w:cs="Arial"/>
          <w:color w:val="000000" w:themeColor="text1"/>
          <w:szCs w:val="24"/>
          <w:lang w:val="es-PA"/>
        </w:rPr>
      </w:pPr>
      <w:r w:rsidRPr="00D15B0F">
        <w:rPr>
          <w:rFonts w:ascii="Arial" w:hAnsi="Arial" w:cs="Arial"/>
          <w:color w:val="000000" w:themeColor="text1"/>
          <w:szCs w:val="24"/>
          <w:lang w:val="es-PA"/>
        </w:rPr>
        <w:t>El</w:t>
      </w:r>
      <w:r w:rsidR="0019731D" w:rsidRPr="00D15B0F">
        <w:rPr>
          <w:rFonts w:ascii="Arial" w:hAnsi="Arial" w:cs="Arial"/>
          <w:color w:val="000000" w:themeColor="text1"/>
          <w:szCs w:val="24"/>
          <w:lang w:val="es-PA"/>
        </w:rPr>
        <w:t xml:space="preserve"> </w:t>
      </w:r>
      <w:r w:rsidRPr="00D15B0F">
        <w:rPr>
          <w:rFonts w:ascii="Arial" w:hAnsi="Arial" w:cs="Arial"/>
          <w:color w:val="000000" w:themeColor="text1"/>
          <w:szCs w:val="24"/>
          <w:lang w:val="es-PA"/>
        </w:rPr>
        <w:t xml:space="preserve"> </w:t>
      </w:r>
      <w:r w:rsidR="0019731D">
        <w:rPr>
          <w:rFonts w:ascii="Arial" w:hAnsi="Arial" w:cs="Arial"/>
          <w:color w:val="000000" w:themeColor="text1"/>
          <w:szCs w:val="24"/>
          <w:lang w:val="es-PA"/>
        </w:rPr>
        <w:t>CNCSP</w:t>
      </w:r>
      <w:r w:rsidR="0019731D" w:rsidRPr="00D15B0F">
        <w:rPr>
          <w:rFonts w:ascii="Arial" w:hAnsi="Arial" w:cs="Arial"/>
          <w:color w:val="000000" w:themeColor="text1"/>
          <w:szCs w:val="24"/>
          <w:lang w:val="es-PA"/>
        </w:rPr>
        <w:t xml:space="preserve"> </w:t>
      </w:r>
      <w:r w:rsidRPr="00D15B0F">
        <w:rPr>
          <w:rFonts w:ascii="Arial" w:hAnsi="Arial" w:cs="Arial"/>
          <w:color w:val="000000" w:themeColor="text1"/>
          <w:szCs w:val="24"/>
          <w:lang w:val="es-PA"/>
        </w:rPr>
        <w:t>supervisará mediante auditorías, visitas y revisión de indicadores</w:t>
      </w:r>
      <w:r w:rsidR="00242C05" w:rsidRPr="00D15B0F">
        <w:rPr>
          <w:rFonts w:ascii="Arial" w:hAnsi="Arial" w:cs="Arial"/>
          <w:color w:val="000000" w:themeColor="text1"/>
          <w:szCs w:val="24"/>
          <w:lang w:val="es-PA"/>
        </w:rPr>
        <w:t xml:space="preserve"> a todos los comités y unidades de atención </w:t>
      </w:r>
      <w:r w:rsidR="00451CB0" w:rsidRPr="00D15B0F">
        <w:rPr>
          <w:rFonts w:ascii="Arial" w:hAnsi="Arial" w:cs="Arial"/>
          <w:color w:val="000000" w:themeColor="text1"/>
          <w:szCs w:val="24"/>
          <w:lang w:val="es-PA"/>
        </w:rPr>
        <w:t xml:space="preserve">y publicará </w:t>
      </w:r>
      <w:r w:rsidRPr="00D15B0F">
        <w:rPr>
          <w:rFonts w:ascii="Arial" w:hAnsi="Arial" w:cs="Arial"/>
          <w:color w:val="000000" w:themeColor="text1"/>
          <w:szCs w:val="24"/>
          <w:lang w:val="es-PA"/>
        </w:rPr>
        <w:t xml:space="preserve">resultados </w:t>
      </w:r>
      <w:r w:rsidR="00451CB0" w:rsidRPr="00D15B0F">
        <w:rPr>
          <w:rFonts w:ascii="Arial" w:hAnsi="Arial" w:cs="Arial"/>
          <w:color w:val="000000" w:themeColor="text1"/>
          <w:szCs w:val="24"/>
          <w:lang w:val="es-PA"/>
        </w:rPr>
        <w:t>de acuerdo a su pertinencia y necesidad de aprendizaje y mejora continua</w:t>
      </w:r>
      <w:r w:rsidRPr="00D15B0F">
        <w:rPr>
          <w:rFonts w:ascii="Arial" w:hAnsi="Arial" w:cs="Arial"/>
          <w:color w:val="000000" w:themeColor="text1"/>
          <w:szCs w:val="24"/>
          <w:lang w:val="es-PA"/>
        </w:rPr>
        <w:t>.</w:t>
      </w:r>
      <w:r w:rsidR="005E3798" w:rsidRPr="00D15B0F">
        <w:rPr>
          <w:rFonts w:ascii="Arial" w:hAnsi="Arial" w:cs="Arial"/>
          <w:color w:val="000000" w:themeColor="text1"/>
          <w:szCs w:val="24"/>
          <w:lang w:val="es-PA"/>
        </w:rPr>
        <w:t xml:space="preserve">  </w:t>
      </w:r>
    </w:p>
    <w:p w14:paraId="777792C7" w14:textId="77777777" w:rsidR="00665A16" w:rsidRPr="0079352D" w:rsidRDefault="00665A16" w:rsidP="0079352D">
      <w:pPr>
        <w:pStyle w:val="Ttulo2"/>
        <w:rPr>
          <w:color w:val="000000" w:themeColor="text1"/>
          <w:lang w:val="es-PA"/>
        </w:rPr>
      </w:pPr>
      <w:r w:rsidRPr="0079352D">
        <w:rPr>
          <w:color w:val="000000" w:themeColor="text1"/>
          <w:lang w:val="es-PA"/>
        </w:rPr>
        <w:t>Artículo 17. Incentivos al cumplimiento.</w:t>
      </w:r>
    </w:p>
    <w:p w14:paraId="4146E26A" w14:textId="56C26FD1" w:rsidR="00665A16" w:rsidRPr="00D15B0F" w:rsidRDefault="00665A16" w:rsidP="00D74882">
      <w:pPr>
        <w:jc w:val="both"/>
        <w:rPr>
          <w:rFonts w:ascii="Arial" w:hAnsi="Arial" w:cs="Arial"/>
          <w:color w:val="000000" w:themeColor="text1"/>
          <w:szCs w:val="24"/>
          <w:lang w:val="es-PA"/>
        </w:rPr>
      </w:pPr>
      <w:r w:rsidRPr="00D15B0F">
        <w:rPr>
          <w:rFonts w:ascii="Arial" w:hAnsi="Arial" w:cs="Arial"/>
          <w:color w:val="000000" w:themeColor="text1"/>
          <w:szCs w:val="24"/>
          <w:lang w:val="es-PA"/>
        </w:rPr>
        <w:t>Reconocimiento oficial</w:t>
      </w:r>
      <w:r w:rsidR="00B96419" w:rsidRPr="00D15B0F">
        <w:rPr>
          <w:rFonts w:ascii="Arial" w:hAnsi="Arial" w:cs="Arial"/>
          <w:color w:val="000000" w:themeColor="text1"/>
          <w:szCs w:val="24"/>
          <w:lang w:val="es-PA"/>
        </w:rPr>
        <w:t xml:space="preserve"> y público</w:t>
      </w:r>
      <w:r w:rsidRPr="00D15B0F">
        <w:rPr>
          <w:rFonts w:ascii="Arial" w:hAnsi="Arial" w:cs="Arial"/>
          <w:color w:val="000000" w:themeColor="text1"/>
          <w:szCs w:val="24"/>
          <w:lang w:val="es-PA"/>
        </w:rPr>
        <w:t>, acceso a financiamiento</w:t>
      </w:r>
      <w:r w:rsidR="00B96419" w:rsidRPr="00D15B0F">
        <w:rPr>
          <w:rFonts w:ascii="Arial" w:hAnsi="Arial" w:cs="Arial"/>
          <w:color w:val="000000" w:themeColor="text1"/>
          <w:szCs w:val="24"/>
          <w:lang w:val="es-PA"/>
        </w:rPr>
        <w:t>,</w:t>
      </w:r>
      <w:r w:rsidRPr="00D15B0F">
        <w:rPr>
          <w:rFonts w:ascii="Arial" w:hAnsi="Arial" w:cs="Arial"/>
          <w:color w:val="000000" w:themeColor="text1"/>
          <w:szCs w:val="24"/>
          <w:lang w:val="es-PA"/>
        </w:rPr>
        <w:t xml:space="preserve"> cooperación técnica y publicación de buenas prácticas.</w:t>
      </w:r>
    </w:p>
    <w:p w14:paraId="5768DB97" w14:textId="77777777" w:rsidR="00665A16" w:rsidRPr="0079352D" w:rsidRDefault="00665A16" w:rsidP="0079352D">
      <w:pPr>
        <w:pStyle w:val="Ttulo2"/>
        <w:rPr>
          <w:color w:val="000000" w:themeColor="text1"/>
          <w:lang w:val="es-PA"/>
        </w:rPr>
      </w:pPr>
      <w:r w:rsidRPr="0079352D">
        <w:rPr>
          <w:color w:val="000000" w:themeColor="text1"/>
          <w:lang w:val="es-PA"/>
        </w:rPr>
        <w:t>Artículo 18. Régimen sancionatorio.</w:t>
      </w:r>
    </w:p>
    <w:p w14:paraId="6CBD1CF3" w14:textId="1FDDD599" w:rsidR="00665A16" w:rsidRPr="00D15B0F" w:rsidRDefault="00665A16" w:rsidP="00D74882">
      <w:pPr>
        <w:jc w:val="both"/>
        <w:rPr>
          <w:rFonts w:ascii="Arial" w:hAnsi="Arial" w:cs="Arial"/>
          <w:color w:val="000000" w:themeColor="text1"/>
          <w:szCs w:val="24"/>
          <w:lang w:val="es-PA"/>
        </w:rPr>
      </w:pPr>
      <w:r w:rsidRPr="00D15B0F">
        <w:rPr>
          <w:rFonts w:ascii="Arial" w:hAnsi="Arial" w:cs="Arial"/>
          <w:color w:val="000000" w:themeColor="text1"/>
          <w:szCs w:val="24"/>
          <w:lang w:val="es-PA"/>
        </w:rPr>
        <w:t>Sanciones para instituciones (amonestación, multas, suspensión, inhabilitación) y profesionales (amonestación ética, capacitación correctiva, suspensión en casos grave</w:t>
      </w:r>
      <w:r w:rsidR="00C8485D" w:rsidRPr="00D15B0F">
        <w:rPr>
          <w:rFonts w:ascii="Arial" w:hAnsi="Arial" w:cs="Arial"/>
          <w:color w:val="000000" w:themeColor="text1"/>
          <w:szCs w:val="24"/>
          <w:lang w:val="es-PA"/>
        </w:rPr>
        <w:t>s).</w:t>
      </w:r>
    </w:p>
    <w:p w14:paraId="2E0C821A" w14:textId="77777777" w:rsidR="00665A16" w:rsidRPr="0079352D" w:rsidRDefault="00665A16" w:rsidP="0079352D">
      <w:pPr>
        <w:pStyle w:val="Ttulo2"/>
        <w:rPr>
          <w:color w:val="000000" w:themeColor="text1"/>
          <w:lang w:val="es-PA"/>
        </w:rPr>
      </w:pPr>
      <w:r w:rsidRPr="0079352D">
        <w:rPr>
          <w:color w:val="000000" w:themeColor="text1"/>
          <w:lang w:val="es-PA"/>
        </w:rPr>
        <w:t>Artículo 19. Principios del régimen sancionatorio.</w:t>
      </w:r>
    </w:p>
    <w:p w14:paraId="30E7E19C" w14:textId="27F1AF02" w:rsidR="00665A16" w:rsidRPr="00D15B0F" w:rsidRDefault="00665A16" w:rsidP="00D74882">
      <w:pPr>
        <w:jc w:val="both"/>
        <w:rPr>
          <w:rFonts w:ascii="Arial" w:hAnsi="Arial" w:cs="Arial"/>
          <w:color w:val="000000" w:themeColor="text1"/>
          <w:szCs w:val="24"/>
          <w:lang w:val="es-PA"/>
        </w:rPr>
      </w:pPr>
      <w:r w:rsidRPr="00D15B0F">
        <w:rPr>
          <w:rFonts w:ascii="Arial" w:hAnsi="Arial" w:cs="Arial"/>
          <w:color w:val="000000" w:themeColor="text1"/>
          <w:szCs w:val="24"/>
          <w:lang w:val="es-PA"/>
        </w:rPr>
        <w:t>Proporcionalidad, gradualidad, debido proces</w:t>
      </w:r>
      <w:r w:rsidR="00F50763" w:rsidRPr="00D15B0F">
        <w:rPr>
          <w:rFonts w:ascii="Arial" w:hAnsi="Arial" w:cs="Arial"/>
          <w:color w:val="000000" w:themeColor="text1"/>
          <w:szCs w:val="24"/>
          <w:lang w:val="es-PA"/>
        </w:rPr>
        <w:t xml:space="preserve">o, </w:t>
      </w:r>
      <w:r w:rsidRPr="00D15B0F">
        <w:rPr>
          <w:rFonts w:ascii="Arial" w:hAnsi="Arial" w:cs="Arial"/>
          <w:color w:val="000000" w:themeColor="text1"/>
          <w:szCs w:val="24"/>
          <w:lang w:val="es-PA"/>
        </w:rPr>
        <w:t>finalidad preventiv</w:t>
      </w:r>
      <w:r w:rsidR="00F50763" w:rsidRPr="00D15B0F">
        <w:rPr>
          <w:rFonts w:ascii="Arial" w:hAnsi="Arial" w:cs="Arial"/>
          <w:color w:val="000000" w:themeColor="text1"/>
          <w:szCs w:val="24"/>
          <w:lang w:val="es-PA"/>
        </w:rPr>
        <w:t xml:space="preserve">a y </w:t>
      </w:r>
      <w:r w:rsidR="00B62326" w:rsidRPr="00D15B0F">
        <w:rPr>
          <w:rFonts w:ascii="Arial" w:hAnsi="Arial" w:cs="Arial"/>
          <w:color w:val="000000" w:themeColor="text1"/>
          <w:szCs w:val="24"/>
          <w:lang w:val="es-PA"/>
        </w:rPr>
        <w:t>tribunales de ética asistencial doependientes del</w:t>
      </w:r>
      <w:r w:rsidR="00AE6F11" w:rsidRPr="00AE6F11">
        <w:rPr>
          <w:rFonts w:ascii="Arial" w:hAnsi="Arial" w:cs="Arial"/>
          <w:color w:val="000000" w:themeColor="text1"/>
          <w:szCs w:val="24"/>
          <w:lang w:val="es-PA"/>
        </w:rPr>
        <w:t xml:space="preserve"> </w:t>
      </w:r>
      <w:r w:rsidR="00AE6F11">
        <w:rPr>
          <w:rFonts w:ascii="Arial" w:hAnsi="Arial" w:cs="Arial"/>
          <w:color w:val="000000" w:themeColor="text1"/>
          <w:szCs w:val="24"/>
          <w:lang w:val="es-PA"/>
        </w:rPr>
        <w:t>CNCSP.</w:t>
      </w:r>
      <w:r w:rsidR="00B62326" w:rsidRPr="00D15B0F">
        <w:rPr>
          <w:rFonts w:ascii="Arial" w:hAnsi="Arial" w:cs="Arial"/>
          <w:color w:val="000000" w:themeColor="text1"/>
          <w:szCs w:val="24"/>
          <w:lang w:val="es-PA"/>
        </w:rPr>
        <w:t xml:space="preserve"> </w:t>
      </w:r>
    </w:p>
    <w:p w14:paraId="4AC6E00F" w14:textId="77777777" w:rsidR="00665A16" w:rsidRPr="000279FC" w:rsidRDefault="00665A16" w:rsidP="000279FC">
      <w:pPr>
        <w:pStyle w:val="Ttulo2"/>
        <w:rPr>
          <w:color w:val="000000" w:themeColor="text1"/>
          <w:lang w:val="es-PA"/>
        </w:rPr>
      </w:pPr>
      <w:r w:rsidRPr="000279FC">
        <w:rPr>
          <w:color w:val="000000" w:themeColor="text1"/>
          <w:lang w:val="es-PA"/>
        </w:rPr>
        <w:t>Artículo 20. Mecanismos de apelación.</w:t>
      </w:r>
    </w:p>
    <w:p w14:paraId="4A8E76BE" w14:textId="77777777" w:rsidR="00665A16" w:rsidRPr="00D15B0F" w:rsidRDefault="00665A16" w:rsidP="00D74882">
      <w:pPr>
        <w:jc w:val="both"/>
        <w:rPr>
          <w:rFonts w:ascii="Arial" w:hAnsi="Arial" w:cs="Arial"/>
          <w:color w:val="000000" w:themeColor="text1"/>
          <w:szCs w:val="24"/>
          <w:lang w:val="es-PA"/>
        </w:rPr>
      </w:pPr>
      <w:r w:rsidRPr="00D15B0F">
        <w:rPr>
          <w:rFonts w:ascii="Arial" w:hAnsi="Arial" w:cs="Arial"/>
          <w:color w:val="000000" w:themeColor="text1"/>
          <w:szCs w:val="24"/>
          <w:lang w:val="es-PA"/>
        </w:rPr>
        <w:t>Toda sanción podrá ser apelada conforme a los procedimientos legales vigentes.</w:t>
      </w:r>
    </w:p>
    <w:p w14:paraId="3DA56B4E" w14:textId="77777777" w:rsidR="00AE6F11" w:rsidRPr="000279FC" w:rsidRDefault="00665A16" w:rsidP="000279FC">
      <w:pPr>
        <w:pStyle w:val="Ttulo1"/>
        <w:rPr>
          <w:color w:val="000000" w:themeColor="text1"/>
          <w:lang w:val="es-PA"/>
        </w:rPr>
      </w:pPr>
      <w:r w:rsidRPr="000279FC">
        <w:rPr>
          <w:color w:val="000000" w:themeColor="text1"/>
          <w:lang w:val="es-PA"/>
        </w:rPr>
        <w:t>TÍTULO VI</w:t>
      </w:r>
    </w:p>
    <w:p w14:paraId="566E21F3" w14:textId="0E127338" w:rsidR="00665A16" w:rsidRPr="002D3DF5" w:rsidRDefault="00665A16" w:rsidP="00D74882">
      <w:pPr>
        <w:jc w:val="both"/>
        <w:rPr>
          <w:rFonts w:ascii="Arial" w:hAnsi="Arial" w:cs="Arial"/>
          <w:color w:val="000000" w:themeColor="text1"/>
          <w:szCs w:val="24"/>
          <w:lang w:val="es-PA"/>
        </w:rPr>
      </w:pPr>
      <w:r w:rsidRPr="002D3DF5">
        <w:rPr>
          <w:rFonts w:ascii="Arial" w:hAnsi="Arial" w:cs="Arial"/>
          <w:color w:val="000000" w:themeColor="text1"/>
          <w:szCs w:val="24"/>
          <w:lang w:val="es-PA"/>
        </w:rPr>
        <w:t>Disposiciones Finales y Transitorias</w:t>
      </w:r>
    </w:p>
    <w:p w14:paraId="5A1959B1" w14:textId="77777777" w:rsidR="00665A16" w:rsidRPr="000279FC" w:rsidRDefault="00665A16" w:rsidP="000279FC">
      <w:pPr>
        <w:pStyle w:val="Ttulo2"/>
        <w:rPr>
          <w:color w:val="000000" w:themeColor="text1"/>
          <w:lang w:val="es-PA"/>
        </w:rPr>
      </w:pPr>
      <w:r w:rsidRPr="000279FC">
        <w:rPr>
          <w:color w:val="000000" w:themeColor="text1"/>
          <w:lang w:val="es-PA"/>
        </w:rPr>
        <w:t>Artículo 21. Reglamentación.</w:t>
      </w:r>
    </w:p>
    <w:p w14:paraId="1992C327" w14:textId="77777777" w:rsidR="00665A16" w:rsidRPr="00D15B0F" w:rsidRDefault="00665A16" w:rsidP="00D74882">
      <w:pPr>
        <w:jc w:val="both"/>
        <w:rPr>
          <w:rFonts w:ascii="Arial" w:hAnsi="Arial" w:cs="Arial"/>
          <w:color w:val="000000" w:themeColor="text1"/>
          <w:szCs w:val="24"/>
          <w:lang w:val="es-PA"/>
        </w:rPr>
      </w:pPr>
      <w:r w:rsidRPr="00D15B0F">
        <w:rPr>
          <w:rFonts w:ascii="Arial" w:hAnsi="Arial" w:cs="Arial"/>
          <w:color w:val="000000" w:themeColor="text1"/>
          <w:szCs w:val="24"/>
          <w:lang w:val="es-PA"/>
        </w:rPr>
        <w:t>El Órgano Ejecutivo reglamentará esta Ley en un plazo no mayor de seis meses desde su promulgación.</w:t>
      </w:r>
    </w:p>
    <w:p w14:paraId="2E557F91" w14:textId="77777777" w:rsidR="00665A16" w:rsidRPr="000279FC" w:rsidRDefault="00665A16" w:rsidP="000279FC">
      <w:pPr>
        <w:pStyle w:val="Ttulo2"/>
        <w:rPr>
          <w:color w:val="000000" w:themeColor="text1"/>
          <w:lang w:val="es-PA"/>
        </w:rPr>
      </w:pPr>
      <w:r w:rsidRPr="000279FC">
        <w:rPr>
          <w:color w:val="000000" w:themeColor="text1"/>
          <w:lang w:val="es-PA"/>
        </w:rPr>
        <w:t>Artículo 22. Entrada en vigencia.</w:t>
      </w:r>
    </w:p>
    <w:p w14:paraId="210BB3B2" w14:textId="42FC5D11" w:rsidR="00665A16" w:rsidRPr="00D15B0F" w:rsidRDefault="00665A16" w:rsidP="00D74882">
      <w:pPr>
        <w:jc w:val="both"/>
        <w:rPr>
          <w:rFonts w:ascii="Arial" w:hAnsi="Arial" w:cs="Arial"/>
          <w:color w:val="000000" w:themeColor="text1"/>
          <w:szCs w:val="24"/>
          <w:lang w:val="es-PA"/>
        </w:rPr>
      </w:pPr>
      <w:r w:rsidRPr="00D15B0F">
        <w:rPr>
          <w:rFonts w:ascii="Arial" w:hAnsi="Arial" w:cs="Arial"/>
          <w:color w:val="000000" w:themeColor="text1"/>
          <w:szCs w:val="24"/>
          <w:lang w:val="es-PA"/>
        </w:rPr>
        <w:t>La Ley entrará en vigencia después de su publicación en la Gaceta Oficial.</w:t>
      </w:r>
    </w:p>
    <w:p w14:paraId="58F97B38" w14:textId="77777777" w:rsidR="00665A16" w:rsidRPr="006E00FB" w:rsidRDefault="00665A16" w:rsidP="006E00FB">
      <w:pPr>
        <w:pStyle w:val="Ttulo2"/>
        <w:rPr>
          <w:color w:val="000000" w:themeColor="text1"/>
          <w:lang w:val="es-PA"/>
        </w:rPr>
      </w:pPr>
      <w:r w:rsidRPr="006E00FB">
        <w:rPr>
          <w:color w:val="000000" w:themeColor="text1"/>
          <w:lang w:val="es-PA"/>
        </w:rPr>
        <w:lastRenderedPageBreak/>
        <w:t>Artículo 23. Implementación progresiva.</w:t>
      </w:r>
    </w:p>
    <w:p w14:paraId="75F8FF16" w14:textId="62BC5C1F" w:rsidR="00665A16" w:rsidRPr="00D15B0F" w:rsidRDefault="00665A16" w:rsidP="00D74882">
      <w:pPr>
        <w:jc w:val="both"/>
        <w:rPr>
          <w:rFonts w:ascii="Arial" w:hAnsi="Arial" w:cs="Arial"/>
          <w:color w:val="000000" w:themeColor="text1"/>
          <w:szCs w:val="24"/>
          <w:lang w:val="es-PA"/>
        </w:rPr>
      </w:pPr>
      <w:r w:rsidRPr="00D15B0F">
        <w:rPr>
          <w:rFonts w:ascii="Arial" w:hAnsi="Arial" w:cs="Arial"/>
          <w:color w:val="000000" w:themeColor="text1"/>
          <w:szCs w:val="24"/>
          <w:lang w:val="es-PA"/>
        </w:rPr>
        <w:t xml:space="preserve">Comités en un plazo de </w:t>
      </w:r>
      <w:r w:rsidR="00E2754A" w:rsidRPr="00D15B0F">
        <w:rPr>
          <w:rFonts w:ascii="Arial" w:hAnsi="Arial" w:cs="Arial"/>
          <w:color w:val="000000" w:themeColor="text1"/>
          <w:szCs w:val="24"/>
          <w:lang w:val="es-PA"/>
        </w:rPr>
        <w:t>12</w:t>
      </w:r>
      <w:r w:rsidRPr="00D15B0F">
        <w:rPr>
          <w:rFonts w:ascii="Arial" w:hAnsi="Arial" w:cs="Arial"/>
          <w:color w:val="000000" w:themeColor="text1"/>
          <w:szCs w:val="24"/>
          <w:lang w:val="es-PA"/>
        </w:rPr>
        <w:t xml:space="preserve"> meses, sistema nacional en 18 meses y cronograma de capacitación definido por </w:t>
      </w:r>
      <w:r w:rsidR="00E2754A">
        <w:rPr>
          <w:rFonts w:ascii="Arial" w:hAnsi="Arial" w:cs="Arial"/>
          <w:color w:val="000000" w:themeColor="text1"/>
          <w:szCs w:val="24"/>
          <w:lang w:val="es-PA"/>
        </w:rPr>
        <w:t>CNCSP.</w:t>
      </w:r>
      <w:r w:rsidRPr="00D15B0F">
        <w:rPr>
          <w:rFonts w:ascii="Arial" w:hAnsi="Arial" w:cs="Arial"/>
          <w:color w:val="000000" w:themeColor="text1"/>
          <w:szCs w:val="24"/>
          <w:lang w:val="es-PA"/>
        </w:rPr>
        <w:t>.</w:t>
      </w:r>
    </w:p>
    <w:p w14:paraId="6C5EF6D6" w14:textId="77777777" w:rsidR="00665A16" w:rsidRPr="006E00FB" w:rsidRDefault="00665A16" w:rsidP="006E00FB">
      <w:pPr>
        <w:pStyle w:val="Ttulo2"/>
        <w:rPr>
          <w:color w:val="000000" w:themeColor="text1"/>
          <w:lang w:val="es-PA"/>
        </w:rPr>
      </w:pPr>
      <w:r w:rsidRPr="006E00FB">
        <w:rPr>
          <w:color w:val="000000" w:themeColor="text1"/>
          <w:lang w:val="es-PA"/>
        </w:rPr>
        <w:t>Artículo 24. Presupuesto.</w:t>
      </w:r>
    </w:p>
    <w:p w14:paraId="123055B9" w14:textId="24EC1909" w:rsidR="00665A16" w:rsidRPr="00D15B0F" w:rsidRDefault="00665A16" w:rsidP="00D74882">
      <w:pPr>
        <w:jc w:val="both"/>
        <w:rPr>
          <w:rFonts w:ascii="Arial" w:hAnsi="Arial" w:cs="Arial"/>
          <w:color w:val="000000" w:themeColor="text1"/>
          <w:szCs w:val="24"/>
          <w:lang w:val="es-PA"/>
        </w:rPr>
      </w:pPr>
      <w:r w:rsidRPr="00D15B0F">
        <w:rPr>
          <w:rFonts w:ascii="Arial" w:hAnsi="Arial" w:cs="Arial"/>
          <w:color w:val="000000" w:themeColor="text1"/>
          <w:szCs w:val="24"/>
          <w:lang w:val="es-PA"/>
        </w:rPr>
        <w:t xml:space="preserve">El Estado asignará partidas necesarias para el </w:t>
      </w:r>
      <w:r w:rsidR="00103EF7">
        <w:rPr>
          <w:rFonts w:ascii="Arial" w:hAnsi="Arial" w:cs="Arial"/>
          <w:color w:val="000000" w:themeColor="text1"/>
          <w:szCs w:val="24"/>
          <w:lang w:val="es-PA"/>
        </w:rPr>
        <w:t>CNCSP</w:t>
      </w:r>
      <w:r w:rsidRPr="00D15B0F">
        <w:rPr>
          <w:rFonts w:ascii="Arial" w:hAnsi="Arial" w:cs="Arial"/>
          <w:color w:val="000000" w:themeColor="text1"/>
          <w:szCs w:val="24"/>
          <w:lang w:val="es-PA"/>
        </w:rPr>
        <w:t xml:space="preserve">, sistemas </w:t>
      </w:r>
      <w:r w:rsidR="00B90AE9" w:rsidRPr="00D15B0F">
        <w:rPr>
          <w:rFonts w:ascii="Arial" w:hAnsi="Arial" w:cs="Arial"/>
          <w:color w:val="000000" w:themeColor="text1"/>
          <w:szCs w:val="24"/>
          <w:lang w:val="es-PA"/>
        </w:rPr>
        <w:t xml:space="preserve">o plataformas </w:t>
      </w:r>
      <w:r w:rsidRPr="00D15B0F">
        <w:rPr>
          <w:rFonts w:ascii="Arial" w:hAnsi="Arial" w:cs="Arial"/>
          <w:color w:val="000000" w:themeColor="text1"/>
          <w:szCs w:val="24"/>
          <w:lang w:val="es-PA"/>
        </w:rPr>
        <w:t>de reporte, capacitación e indicadores.</w:t>
      </w:r>
    </w:p>
    <w:p w14:paraId="635555EC" w14:textId="77777777" w:rsidR="00665A16" w:rsidRPr="006E00FB" w:rsidRDefault="00665A16" w:rsidP="006E00FB">
      <w:pPr>
        <w:pStyle w:val="Ttulo2"/>
        <w:rPr>
          <w:color w:val="000000" w:themeColor="text1"/>
          <w:lang w:val="es-PA"/>
        </w:rPr>
      </w:pPr>
      <w:r w:rsidRPr="006E00FB">
        <w:rPr>
          <w:color w:val="000000" w:themeColor="text1"/>
          <w:lang w:val="es-PA"/>
        </w:rPr>
        <w:t>Artículo 25. Cláusula de compatibilidad.</w:t>
      </w:r>
    </w:p>
    <w:p w14:paraId="5BCE3605" w14:textId="77777777" w:rsidR="00665A16" w:rsidRPr="00D15B0F" w:rsidRDefault="00665A16" w:rsidP="00D74882">
      <w:pPr>
        <w:jc w:val="both"/>
        <w:rPr>
          <w:rFonts w:ascii="Arial" w:hAnsi="Arial" w:cs="Arial"/>
          <w:color w:val="000000" w:themeColor="text1"/>
          <w:szCs w:val="24"/>
          <w:lang w:val="es-PA"/>
        </w:rPr>
      </w:pPr>
      <w:r w:rsidRPr="00D15B0F">
        <w:rPr>
          <w:rFonts w:ascii="Arial" w:hAnsi="Arial" w:cs="Arial"/>
          <w:color w:val="000000" w:themeColor="text1"/>
          <w:szCs w:val="24"/>
          <w:lang w:val="es-PA"/>
        </w:rPr>
        <w:t>La Ley se aplicará en armonía con normas nacionales e internacionales de bioética y derechos humanos.</w:t>
      </w:r>
    </w:p>
    <w:p w14:paraId="10FB3E41" w14:textId="77777777" w:rsidR="00665A16" w:rsidRPr="006E00FB" w:rsidRDefault="00665A16" w:rsidP="006E00FB">
      <w:pPr>
        <w:pStyle w:val="Ttulo2"/>
        <w:rPr>
          <w:color w:val="000000" w:themeColor="text1"/>
          <w:lang w:val="es-PA"/>
        </w:rPr>
      </w:pPr>
      <w:r w:rsidRPr="006E00FB">
        <w:rPr>
          <w:color w:val="000000" w:themeColor="text1"/>
          <w:lang w:val="es-PA"/>
        </w:rPr>
        <w:t>Artículo 26. Derogatoria.</w:t>
      </w:r>
    </w:p>
    <w:p w14:paraId="118FEE53" w14:textId="77777777" w:rsidR="00665A16" w:rsidRPr="00D15B0F" w:rsidRDefault="00665A16" w:rsidP="00D74882">
      <w:pPr>
        <w:jc w:val="both"/>
        <w:rPr>
          <w:rFonts w:ascii="Arial" w:hAnsi="Arial" w:cs="Arial"/>
          <w:color w:val="000000" w:themeColor="text1"/>
          <w:szCs w:val="24"/>
          <w:lang w:val="es-PA"/>
        </w:rPr>
      </w:pPr>
      <w:r w:rsidRPr="00D15B0F">
        <w:rPr>
          <w:rFonts w:ascii="Arial" w:hAnsi="Arial" w:cs="Arial"/>
          <w:color w:val="000000" w:themeColor="text1"/>
          <w:szCs w:val="24"/>
          <w:lang w:val="es-PA"/>
        </w:rPr>
        <w:t>Se derogan todas las disposiciones contrarias a esta Ley.</w:t>
      </w:r>
    </w:p>
    <w:p w14:paraId="4C53023B" w14:textId="77777777" w:rsidR="00466982" w:rsidRPr="00D15B0F" w:rsidRDefault="00960454" w:rsidP="008E5A12">
      <w:pPr>
        <w:pStyle w:val="Ttulo1"/>
        <w:rPr>
          <w:lang w:val="es-PA"/>
        </w:rPr>
      </w:pPr>
      <w:r w:rsidRPr="00D15B0F">
        <w:rPr>
          <w:lang w:val="es-PA"/>
        </w:rPr>
        <w:t>TÍTULO VII</w:t>
      </w:r>
      <w:r w:rsidR="00E26EE2" w:rsidRPr="00D15B0F">
        <w:rPr>
          <w:lang w:val="es-PA"/>
        </w:rPr>
        <w:t xml:space="preserve">  </w:t>
      </w:r>
    </w:p>
    <w:p w14:paraId="4D0465D0" w14:textId="70BE370E" w:rsidR="00960454" w:rsidRPr="00D15B0F" w:rsidRDefault="00960454" w:rsidP="00C328FC">
      <w:pPr>
        <w:rPr>
          <w:b/>
          <w:bCs/>
          <w:lang w:val="es-PA"/>
        </w:rPr>
      </w:pPr>
      <w:r w:rsidRPr="00D15B0F">
        <w:rPr>
          <w:b/>
          <w:bCs/>
          <w:lang w:val="es-PA"/>
        </w:rPr>
        <w:t>Responsabilidad Profesional, Delito Culposo del Acto Médico y Compensación No Fault</w:t>
      </w:r>
    </w:p>
    <w:p w14:paraId="65BF51CB" w14:textId="77777777" w:rsidR="00E26EE2" w:rsidRPr="00D15B0F" w:rsidRDefault="00E26EE2" w:rsidP="00E26EE2">
      <w:pPr>
        <w:rPr>
          <w:lang w:val="es-PA"/>
        </w:rPr>
      </w:pPr>
    </w:p>
    <w:p w14:paraId="790B5FEB" w14:textId="77777777" w:rsidR="00E26EE2" w:rsidRPr="00D15B0F" w:rsidRDefault="00960454" w:rsidP="00C328FC">
      <w:pPr>
        <w:pStyle w:val="Ttulo2"/>
        <w:rPr>
          <w:color w:val="000000" w:themeColor="text1"/>
          <w:lang w:val="es-PA"/>
        </w:rPr>
      </w:pPr>
      <w:r w:rsidRPr="00D15B0F">
        <w:rPr>
          <w:color w:val="000000" w:themeColor="text1"/>
          <w:lang w:val="es-PA"/>
        </w:rPr>
        <w:t>Artículo 27. Cultura Justa y Aprendizaje Seguro.</w:t>
      </w:r>
    </w:p>
    <w:p w14:paraId="3CC2B98D" w14:textId="446BA7D7" w:rsidR="00960454" w:rsidRPr="00D15B0F" w:rsidRDefault="00960454" w:rsidP="00D74882">
      <w:pPr>
        <w:jc w:val="both"/>
        <w:rPr>
          <w:lang w:val="es-PA"/>
        </w:rPr>
      </w:pPr>
      <w:r w:rsidRPr="00D15B0F">
        <w:rPr>
          <w:lang w:val="es-PA"/>
        </w:rPr>
        <w:t>La Cultura Justa es el marco de gobernanza que promueve la notificación sin culpa, el aprendizaje organizacional y la proporcionalidad en la respuesta a eventos adversos, distinguiendo entre error humano, conducta de riesgo y conducta imprudente, conforme a la lex artis y a la evidencia científica vigente. En este marco, la compensación No Fault se reconoce como un mecanismo no punitivo y administrativo para resarcir tempranamente a los pacientes afectados por eventos adversos elegibles, sin necesidad de establecer culpa.</w:t>
      </w:r>
    </w:p>
    <w:p w14:paraId="34265856" w14:textId="3E17B65B" w:rsidR="00EF25D0" w:rsidRPr="00D15B0F" w:rsidRDefault="00960454" w:rsidP="00D74882">
      <w:pPr>
        <w:jc w:val="both"/>
        <w:rPr>
          <w:lang w:val="es-PA"/>
        </w:rPr>
      </w:pPr>
      <w:r w:rsidRPr="00D15B0F">
        <w:rPr>
          <w:lang w:val="es-PA"/>
        </w:rPr>
        <w:t>Artículo 28. Definición de Compensación No Fault.</w:t>
      </w:r>
    </w:p>
    <w:p w14:paraId="155519A9" w14:textId="30DD482B" w:rsidR="00960454" w:rsidRPr="00D15B0F" w:rsidRDefault="00960454" w:rsidP="00D74882">
      <w:pPr>
        <w:jc w:val="both"/>
        <w:rPr>
          <w:lang w:val="es-PA"/>
        </w:rPr>
      </w:pPr>
      <w:r w:rsidRPr="00D15B0F">
        <w:rPr>
          <w:lang w:val="es-PA"/>
        </w:rPr>
        <w:t>Para efectos de esta Ley, la Compensación No Fault es un régimen administrativo de indemnización temprana, basado en criterios técnicos de elegibilidad, independiente de la determinación de culpa o negligencia, que no constituye admisión de responsabilidad y que no impide al paciente ejercer acciones civiles o penales por delito culposo conforme a la legislación aplicable.</w:t>
      </w:r>
    </w:p>
    <w:p w14:paraId="299A4F1A" w14:textId="1FD95870" w:rsidR="00EF25D0" w:rsidRPr="00D15B0F" w:rsidRDefault="00960454" w:rsidP="00D74882">
      <w:pPr>
        <w:jc w:val="both"/>
        <w:rPr>
          <w:lang w:val="es-PA"/>
        </w:rPr>
      </w:pPr>
      <w:r w:rsidRPr="00D15B0F">
        <w:rPr>
          <w:lang w:val="es-PA"/>
        </w:rPr>
        <w:t>Artículo 29. Flujo de gestión y plazos máximos.</w:t>
      </w:r>
    </w:p>
    <w:p w14:paraId="2CE1A963" w14:textId="77777777" w:rsidR="00AA4EE2" w:rsidRPr="00D15B0F" w:rsidRDefault="00960454" w:rsidP="00AA4EE2">
      <w:pPr>
        <w:pStyle w:val="Prrafodelista"/>
        <w:numPr>
          <w:ilvl w:val="0"/>
          <w:numId w:val="10"/>
        </w:numPr>
        <w:jc w:val="both"/>
        <w:rPr>
          <w:lang w:val="es-PA"/>
        </w:rPr>
      </w:pPr>
      <w:r w:rsidRPr="00D15B0F">
        <w:rPr>
          <w:lang w:val="es-PA"/>
        </w:rPr>
        <w:t>Cuando un evento adverso sea elegible para la compensación No Fault, el establecimiento de salud seguirá el siguiente flujo, sin retrasos</w:t>
      </w:r>
    </w:p>
    <w:p w14:paraId="0F0C20EB" w14:textId="77777777" w:rsidR="006B50C0" w:rsidRPr="00D15B0F" w:rsidRDefault="00960454" w:rsidP="00AA4EE2">
      <w:pPr>
        <w:pStyle w:val="Prrafodelista"/>
        <w:numPr>
          <w:ilvl w:val="0"/>
          <w:numId w:val="10"/>
        </w:numPr>
        <w:jc w:val="both"/>
        <w:rPr>
          <w:lang w:val="es-PA"/>
        </w:rPr>
      </w:pPr>
      <w:r w:rsidRPr="00D15B0F">
        <w:rPr>
          <w:lang w:val="es-PA"/>
        </w:rPr>
        <w:lastRenderedPageBreak/>
        <w:t>Notificación interna del evento (T+0 a T+24 h).</w:t>
      </w:r>
      <w:r w:rsidRPr="00D15B0F">
        <w:rPr>
          <w:lang w:val="es-PA"/>
        </w:rPr>
        <w:br/>
        <w:t>2. Clasificación preliminar y medidas inmediatas de soporte al paciente (T+48 h).</w:t>
      </w:r>
    </w:p>
    <w:p w14:paraId="0C24B83A" w14:textId="77777777" w:rsidR="006B50C0" w:rsidRPr="00D15B0F" w:rsidRDefault="00960454" w:rsidP="00AA4EE2">
      <w:pPr>
        <w:pStyle w:val="Prrafodelista"/>
        <w:numPr>
          <w:ilvl w:val="0"/>
          <w:numId w:val="10"/>
        </w:numPr>
        <w:jc w:val="both"/>
        <w:rPr>
          <w:lang w:val="es-PA"/>
        </w:rPr>
      </w:pPr>
      <w:r w:rsidRPr="00D15B0F">
        <w:rPr>
          <w:lang w:val="es-PA"/>
        </w:rPr>
        <w:t>Análisis causa raíz por equipo técnico (T+15 días).</w:t>
      </w:r>
    </w:p>
    <w:p w14:paraId="3BD6463C" w14:textId="77777777" w:rsidR="00752880" w:rsidRPr="00D15B0F" w:rsidRDefault="00960454" w:rsidP="00AA4EE2">
      <w:pPr>
        <w:pStyle w:val="Prrafodelista"/>
        <w:numPr>
          <w:ilvl w:val="0"/>
          <w:numId w:val="10"/>
        </w:numPr>
        <w:jc w:val="both"/>
        <w:rPr>
          <w:lang w:val="es-PA"/>
        </w:rPr>
      </w:pPr>
      <w:r w:rsidRPr="00D15B0F">
        <w:rPr>
          <w:lang w:val="es-PA"/>
        </w:rPr>
        <w:t>Determinación de elegibilidad No Fault conforme a criterios reglamentarios (T+20 días).</w:t>
      </w:r>
    </w:p>
    <w:p w14:paraId="2974C0C8" w14:textId="77777777" w:rsidR="00752880" w:rsidRPr="00D15B0F" w:rsidRDefault="00960454" w:rsidP="00AA4EE2">
      <w:pPr>
        <w:pStyle w:val="Prrafodelista"/>
        <w:numPr>
          <w:ilvl w:val="0"/>
          <w:numId w:val="10"/>
        </w:numPr>
        <w:jc w:val="both"/>
        <w:rPr>
          <w:lang w:val="es-PA"/>
        </w:rPr>
      </w:pPr>
      <w:r w:rsidRPr="00D15B0F">
        <w:rPr>
          <w:lang w:val="es-PA"/>
        </w:rPr>
        <w:t>Cálculo de compensación según tablas estandarizadas (T+25 días).</w:t>
      </w:r>
    </w:p>
    <w:p w14:paraId="4ADE0216" w14:textId="77777777" w:rsidR="00752880" w:rsidRPr="00D15B0F" w:rsidRDefault="00960454" w:rsidP="00AA4EE2">
      <w:pPr>
        <w:pStyle w:val="Prrafodelista"/>
        <w:numPr>
          <w:ilvl w:val="0"/>
          <w:numId w:val="10"/>
        </w:numPr>
        <w:jc w:val="both"/>
        <w:rPr>
          <w:lang w:val="es-PA"/>
        </w:rPr>
      </w:pPr>
      <w:r w:rsidRPr="00D15B0F">
        <w:rPr>
          <w:lang w:val="es-PA"/>
        </w:rPr>
        <w:t>Oferta formal al paciente/familia y orientación sobre sus derechos (T+30 días).</w:t>
      </w:r>
    </w:p>
    <w:p w14:paraId="7CC62E26" w14:textId="01B9AAE7" w:rsidR="00960454" w:rsidRPr="00D15B0F" w:rsidRDefault="00960454" w:rsidP="00AA4EE2">
      <w:pPr>
        <w:pStyle w:val="Prrafodelista"/>
        <w:numPr>
          <w:ilvl w:val="0"/>
          <w:numId w:val="10"/>
        </w:numPr>
        <w:jc w:val="both"/>
        <w:rPr>
          <w:lang w:val="es-PA"/>
        </w:rPr>
      </w:pPr>
      <w:r w:rsidRPr="00D15B0F">
        <w:rPr>
          <w:lang w:val="es-PA"/>
        </w:rPr>
        <w:t>Pago por el fondo correspondiente, dentro de 15 días hábiles tras la aceptación (T+45 días).</w:t>
      </w:r>
    </w:p>
    <w:p w14:paraId="0D7F9E09" w14:textId="77777777" w:rsidR="00752880" w:rsidRPr="00D15B0F" w:rsidRDefault="00960454" w:rsidP="00D74882">
      <w:pPr>
        <w:jc w:val="both"/>
        <w:rPr>
          <w:lang w:val="es-PA"/>
        </w:rPr>
      </w:pPr>
      <w:r w:rsidRPr="00D15B0F">
        <w:rPr>
          <w:lang w:val="es-PA"/>
        </w:rPr>
        <w:t>Artículo 30. Elegibilidad y exclusiones.</w:t>
      </w:r>
    </w:p>
    <w:p w14:paraId="0A4AD2CE" w14:textId="77777777" w:rsidR="00531899" w:rsidRPr="00D15B0F" w:rsidRDefault="00960454" w:rsidP="00D74882">
      <w:pPr>
        <w:jc w:val="both"/>
        <w:rPr>
          <w:lang w:val="es-PA"/>
        </w:rPr>
      </w:pPr>
      <w:r w:rsidRPr="00D15B0F">
        <w:rPr>
          <w:lang w:val="es-PA"/>
        </w:rPr>
        <w:t>Son elegibles los eventos adversos vinculados a la atención sanitaria que generen daño verificable y que no sean atribuibles a:</w:t>
      </w:r>
    </w:p>
    <w:p w14:paraId="1E2EBCCB" w14:textId="77777777" w:rsidR="00C45481" w:rsidRPr="00D15B0F" w:rsidRDefault="00960454" w:rsidP="00531899">
      <w:pPr>
        <w:pStyle w:val="Prrafodelista"/>
        <w:numPr>
          <w:ilvl w:val="0"/>
          <w:numId w:val="11"/>
        </w:numPr>
        <w:jc w:val="both"/>
        <w:rPr>
          <w:lang w:val="es-PA"/>
        </w:rPr>
      </w:pPr>
      <w:r w:rsidRPr="00D15B0F">
        <w:rPr>
          <w:lang w:val="es-PA"/>
        </w:rPr>
        <w:t>Causas externas ajenas a la atención provista;</w:t>
      </w:r>
    </w:p>
    <w:p w14:paraId="73555323" w14:textId="77777777" w:rsidR="00C45481" w:rsidRPr="00D15B0F" w:rsidRDefault="00960454" w:rsidP="00531899">
      <w:pPr>
        <w:pStyle w:val="Prrafodelista"/>
        <w:numPr>
          <w:ilvl w:val="0"/>
          <w:numId w:val="11"/>
        </w:numPr>
        <w:jc w:val="both"/>
        <w:rPr>
          <w:lang w:val="es-PA"/>
        </w:rPr>
      </w:pPr>
      <w:r w:rsidRPr="00D15B0F">
        <w:rPr>
          <w:lang w:val="es-PA"/>
        </w:rPr>
        <w:t>Negligencia grave, imprudencia temeraria o dolo del profesional o de la institución;</w:t>
      </w:r>
    </w:p>
    <w:p w14:paraId="553FC103" w14:textId="77777777" w:rsidR="00C45481" w:rsidRDefault="00960454" w:rsidP="00C45481">
      <w:pPr>
        <w:pStyle w:val="Prrafodelista"/>
        <w:numPr>
          <w:ilvl w:val="0"/>
          <w:numId w:val="11"/>
        </w:numPr>
        <w:jc w:val="both"/>
      </w:pPr>
      <w:proofErr w:type="spellStart"/>
      <w:r w:rsidRPr="00960454">
        <w:t>Hechos</w:t>
      </w:r>
      <w:proofErr w:type="spellEnd"/>
      <w:r w:rsidRPr="00960454">
        <w:t xml:space="preserve"> de </w:t>
      </w:r>
      <w:proofErr w:type="spellStart"/>
      <w:r w:rsidRPr="00960454">
        <w:t>fuerza</w:t>
      </w:r>
      <w:proofErr w:type="spellEnd"/>
      <w:r w:rsidRPr="00960454">
        <w:t xml:space="preserve"> </w:t>
      </w:r>
      <w:proofErr w:type="gramStart"/>
      <w:r w:rsidRPr="00960454">
        <w:t>mayor;</w:t>
      </w:r>
      <w:proofErr w:type="gramEnd"/>
    </w:p>
    <w:p w14:paraId="758CB8E3" w14:textId="77777777" w:rsidR="00C4017C" w:rsidRPr="00D15B0F" w:rsidRDefault="00960454" w:rsidP="00531899">
      <w:pPr>
        <w:pStyle w:val="Prrafodelista"/>
        <w:numPr>
          <w:ilvl w:val="0"/>
          <w:numId w:val="11"/>
        </w:numPr>
        <w:jc w:val="both"/>
        <w:rPr>
          <w:lang w:val="es-PA"/>
        </w:rPr>
      </w:pPr>
      <w:r w:rsidRPr="00D15B0F">
        <w:rPr>
          <w:lang w:val="es-PA"/>
        </w:rPr>
        <w:t>Incumplimiento del tratamiento por parte del paciente, cuando sea causa directa y exclusiva del daño.</w:t>
      </w:r>
    </w:p>
    <w:p w14:paraId="59E56C20" w14:textId="76C819A5" w:rsidR="00960454" w:rsidRPr="00D15B0F" w:rsidRDefault="00960454" w:rsidP="00531899">
      <w:pPr>
        <w:pStyle w:val="Prrafodelista"/>
        <w:numPr>
          <w:ilvl w:val="0"/>
          <w:numId w:val="11"/>
        </w:numPr>
        <w:jc w:val="both"/>
        <w:rPr>
          <w:lang w:val="es-PA"/>
        </w:rPr>
      </w:pPr>
      <w:r w:rsidRPr="00D15B0F">
        <w:rPr>
          <w:lang w:val="es-PA"/>
        </w:rPr>
        <w:t>Las complicaciones inherentes a procedimientos, adecuadamente informadas y consentidas, serán elegibles cuando así lo disponga el reglamento por su alta previsibilidad y carga de daño, sin exigir prueba de culpa.</w:t>
      </w:r>
    </w:p>
    <w:p w14:paraId="47BB02F9" w14:textId="77777777" w:rsidR="00C4017C" w:rsidRPr="00D15B0F" w:rsidRDefault="00960454" w:rsidP="00D74882">
      <w:pPr>
        <w:jc w:val="both"/>
        <w:rPr>
          <w:lang w:val="es-PA"/>
        </w:rPr>
      </w:pPr>
      <w:r w:rsidRPr="00D15B0F">
        <w:rPr>
          <w:lang w:val="es-PA"/>
        </w:rPr>
        <w:t>Artículo 31. Derechos del paciente y reserva de acciones.</w:t>
      </w:r>
    </w:p>
    <w:p w14:paraId="5171FF49" w14:textId="6C3BA878" w:rsidR="00960454" w:rsidRPr="00D15B0F" w:rsidRDefault="00960454" w:rsidP="00D74882">
      <w:pPr>
        <w:jc w:val="both"/>
        <w:rPr>
          <w:lang w:val="es-PA"/>
        </w:rPr>
      </w:pPr>
      <w:r w:rsidRPr="00D15B0F">
        <w:rPr>
          <w:lang w:val="es-PA"/>
        </w:rPr>
        <w:t>La aceptación de una compensación No Fault no limita ni condiciona el derecho del paciente a interponer acciones civiles o penales por delito culposo del acto médico cuando existan indicios razonables. En caso de sentencia firme que determine culpa grave o dolo, el fondo podrá subrogarse en los derechos contra los responsables para recuperar lo pagado.</w:t>
      </w:r>
    </w:p>
    <w:p w14:paraId="576CFB01" w14:textId="77777777" w:rsidR="00576F10" w:rsidRPr="00D15B0F" w:rsidRDefault="00960454" w:rsidP="00576F10">
      <w:pPr>
        <w:jc w:val="both"/>
        <w:rPr>
          <w:lang w:val="es-PA"/>
        </w:rPr>
      </w:pPr>
      <w:r w:rsidRPr="00D15B0F">
        <w:rPr>
          <w:lang w:val="es-PA"/>
        </w:rPr>
        <w:t>Artículo 32. Fondo Público de Compensación Sanitaria (FPCS).</w:t>
      </w:r>
    </w:p>
    <w:p w14:paraId="230DB3EC" w14:textId="77777777" w:rsidR="00576F10" w:rsidRPr="00D15B0F" w:rsidRDefault="00960454" w:rsidP="00576F10">
      <w:pPr>
        <w:jc w:val="both"/>
        <w:rPr>
          <w:lang w:val="es-PA"/>
        </w:rPr>
      </w:pPr>
      <w:r w:rsidRPr="00D15B0F">
        <w:rPr>
          <w:lang w:val="es-PA"/>
        </w:rPr>
        <w:t>Créase el FPCS para el sector público, con las siguientes características:</w:t>
      </w:r>
    </w:p>
    <w:p w14:paraId="5320ED98" w14:textId="77777777" w:rsidR="00576F10" w:rsidRPr="00D15B0F" w:rsidRDefault="00960454" w:rsidP="00576F10">
      <w:pPr>
        <w:pStyle w:val="Prrafodelista"/>
        <w:numPr>
          <w:ilvl w:val="0"/>
          <w:numId w:val="13"/>
        </w:numPr>
        <w:jc w:val="both"/>
        <w:rPr>
          <w:lang w:val="es-PA"/>
        </w:rPr>
      </w:pPr>
      <w:r w:rsidRPr="00D15B0F">
        <w:rPr>
          <w:lang w:val="es-PA"/>
        </w:rPr>
        <w:t>Administración: entidad pública autónoma o fiduciaria pública, con gobernanza tripartita: Estado, asegurador social y representantes de pacientes/usuarios.</w:t>
      </w:r>
    </w:p>
    <w:p w14:paraId="3E6068CA" w14:textId="77777777" w:rsidR="004D46B8" w:rsidRPr="00D15B0F" w:rsidRDefault="00960454" w:rsidP="00576F10">
      <w:pPr>
        <w:pStyle w:val="Prrafodelista"/>
        <w:numPr>
          <w:ilvl w:val="0"/>
          <w:numId w:val="13"/>
        </w:numPr>
        <w:jc w:val="both"/>
        <w:rPr>
          <w:lang w:val="es-PA"/>
        </w:rPr>
      </w:pPr>
      <w:r w:rsidRPr="00D15B0F">
        <w:rPr>
          <w:lang w:val="es-PA"/>
        </w:rPr>
        <w:t>Financiamiento: asignación presupuestaria anual, aportes del asegurador social y mecanismo de reaseguro para eventos catastróficos.</w:t>
      </w:r>
    </w:p>
    <w:p w14:paraId="4753C956" w14:textId="77777777" w:rsidR="004D46B8" w:rsidRPr="00D15B0F" w:rsidRDefault="00960454" w:rsidP="00576F10">
      <w:pPr>
        <w:pStyle w:val="Prrafodelista"/>
        <w:numPr>
          <w:ilvl w:val="0"/>
          <w:numId w:val="13"/>
        </w:numPr>
        <w:jc w:val="both"/>
        <w:rPr>
          <w:lang w:val="es-PA"/>
        </w:rPr>
      </w:pPr>
      <w:r w:rsidRPr="00D15B0F">
        <w:rPr>
          <w:lang w:val="es-PA"/>
        </w:rPr>
        <w:t>Operación: ventanilla única en hospitales/áreas de salud, con sistema digital de trámite y seguimiento; plazos perentorios conforme Artículo 29.</w:t>
      </w:r>
    </w:p>
    <w:p w14:paraId="337B2378" w14:textId="77777777" w:rsidR="004D46B8" w:rsidRPr="00D15B0F" w:rsidRDefault="00960454" w:rsidP="00576F10">
      <w:pPr>
        <w:pStyle w:val="Prrafodelista"/>
        <w:numPr>
          <w:ilvl w:val="0"/>
          <w:numId w:val="13"/>
        </w:numPr>
        <w:jc w:val="both"/>
        <w:rPr>
          <w:lang w:val="es-PA"/>
        </w:rPr>
      </w:pPr>
      <w:r w:rsidRPr="00D15B0F">
        <w:rPr>
          <w:lang w:val="es-PA"/>
        </w:rPr>
        <w:lastRenderedPageBreak/>
        <w:t>Transparencia: reportes trimestrales, auditoría externa anual y prohibición de uso punitivo de la información clínica obtenida en el proceso.</w:t>
      </w:r>
    </w:p>
    <w:p w14:paraId="1D5B706F" w14:textId="37AAEE0C" w:rsidR="00960454" w:rsidRPr="00D15B0F" w:rsidRDefault="00960454" w:rsidP="00576F10">
      <w:pPr>
        <w:pStyle w:val="Prrafodelista"/>
        <w:numPr>
          <w:ilvl w:val="0"/>
          <w:numId w:val="13"/>
        </w:numPr>
        <w:jc w:val="both"/>
        <w:rPr>
          <w:lang w:val="es-PA"/>
        </w:rPr>
      </w:pPr>
      <w:r w:rsidRPr="00D15B0F">
        <w:rPr>
          <w:lang w:val="es-PA"/>
        </w:rPr>
        <w:t>Coberturas: gastos médicos adicionales razonables, indemnización por incapacidad temporal, pérdida funcional, apoyo psicosocial y compensación por fallecimiento conforme tablas.</w:t>
      </w:r>
    </w:p>
    <w:p w14:paraId="5F2D0ACE" w14:textId="77777777" w:rsidR="008E4F71" w:rsidRPr="00D15B0F" w:rsidRDefault="00960454" w:rsidP="00D74882">
      <w:pPr>
        <w:jc w:val="both"/>
        <w:rPr>
          <w:lang w:val="es-PA"/>
        </w:rPr>
      </w:pPr>
      <w:r w:rsidRPr="00D15B0F">
        <w:rPr>
          <w:lang w:val="es-PA"/>
        </w:rPr>
        <w:t>Artículo 33. Fondo Privado de Compensación Sanitaria (FPrCS).</w:t>
      </w:r>
    </w:p>
    <w:p w14:paraId="1476DA3F" w14:textId="5E0468AF" w:rsidR="00436CC9" w:rsidRPr="00D15B0F" w:rsidRDefault="00960454" w:rsidP="00D74882">
      <w:pPr>
        <w:jc w:val="both"/>
        <w:rPr>
          <w:lang w:val="es-PA"/>
        </w:rPr>
      </w:pPr>
      <w:r w:rsidRPr="00D15B0F">
        <w:rPr>
          <w:lang w:val="es-PA"/>
        </w:rPr>
        <w:t>Para el sector privado, establécese el FPrCS, con:</w:t>
      </w:r>
    </w:p>
    <w:p w14:paraId="6B76684C" w14:textId="77777777" w:rsidR="00436CC9" w:rsidRPr="00D15B0F" w:rsidRDefault="00960454" w:rsidP="00436CC9">
      <w:pPr>
        <w:pStyle w:val="Prrafodelista"/>
        <w:numPr>
          <w:ilvl w:val="0"/>
          <w:numId w:val="14"/>
        </w:numPr>
        <w:jc w:val="both"/>
        <w:rPr>
          <w:lang w:val="es-PA"/>
        </w:rPr>
      </w:pPr>
      <w:r w:rsidRPr="00D15B0F">
        <w:rPr>
          <w:lang w:val="es-PA"/>
        </w:rPr>
        <w:t>Administración: esquema mutual entre prestadores privados y aseguradoras o fideicomiso sectorial, con participación de organizaciones de pacientes.</w:t>
      </w:r>
    </w:p>
    <w:p w14:paraId="2418E5A6" w14:textId="77777777" w:rsidR="00436CC9" w:rsidRPr="00D15B0F" w:rsidRDefault="00960454" w:rsidP="00436CC9">
      <w:pPr>
        <w:pStyle w:val="Prrafodelista"/>
        <w:numPr>
          <w:ilvl w:val="0"/>
          <w:numId w:val="14"/>
        </w:numPr>
        <w:jc w:val="both"/>
        <w:rPr>
          <w:lang w:val="es-PA"/>
        </w:rPr>
      </w:pPr>
      <w:r w:rsidRPr="00D15B0F">
        <w:rPr>
          <w:lang w:val="es-PA"/>
        </w:rPr>
        <w:t>Aportes obligatorios: proporcionales al volumen de atención y al perfil de riesgo, con moduladores por mejora.</w:t>
      </w:r>
    </w:p>
    <w:p w14:paraId="4B5E5989" w14:textId="77777777" w:rsidR="00B67A4E" w:rsidRPr="00D15B0F" w:rsidRDefault="00960454" w:rsidP="00436CC9">
      <w:pPr>
        <w:pStyle w:val="Prrafodelista"/>
        <w:numPr>
          <w:ilvl w:val="0"/>
          <w:numId w:val="14"/>
        </w:numPr>
        <w:jc w:val="both"/>
        <w:rPr>
          <w:lang w:val="es-PA"/>
        </w:rPr>
      </w:pPr>
      <w:r w:rsidRPr="00D15B0F">
        <w:rPr>
          <w:lang w:val="es-PA"/>
        </w:rPr>
        <w:t>Pago directo al paciente/familia dentro de los plazos del Artículo 29, sin perjuicio de coberturas de pólizas privadas.</w:t>
      </w:r>
    </w:p>
    <w:p w14:paraId="67A20786" w14:textId="77777777" w:rsidR="00B67A4E" w:rsidRPr="00D15B0F" w:rsidRDefault="00960454" w:rsidP="00436CC9">
      <w:pPr>
        <w:pStyle w:val="Prrafodelista"/>
        <w:numPr>
          <w:ilvl w:val="0"/>
          <w:numId w:val="14"/>
        </w:numPr>
        <w:jc w:val="both"/>
        <w:rPr>
          <w:lang w:val="es-PA"/>
        </w:rPr>
      </w:pPr>
      <w:r w:rsidRPr="00D15B0F">
        <w:rPr>
          <w:lang w:val="es-PA"/>
        </w:rPr>
        <w:t>Tablas de compensación comunes y homologadas con el sector público para equidad y previsibilidad.</w:t>
      </w:r>
    </w:p>
    <w:p w14:paraId="57F50ECA" w14:textId="347AD74A" w:rsidR="00960454" w:rsidRPr="00D15B0F" w:rsidRDefault="00960454" w:rsidP="00436CC9">
      <w:pPr>
        <w:pStyle w:val="Prrafodelista"/>
        <w:numPr>
          <w:ilvl w:val="0"/>
          <w:numId w:val="14"/>
        </w:numPr>
        <w:jc w:val="both"/>
        <w:rPr>
          <w:lang w:val="es-PA"/>
        </w:rPr>
      </w:pPr>
      <w:r w:rsidRPr="00D15B0F">
        <w:rPr>
          <w:lang w:val="es-PA"/>
        </w:rPr>
        <w:t>No punitividad: la activación del fondo no constituye admisión de culpa de prestadores o profesionales.</w:t>
      </w:r>
    </w:p>
    <w:p w14:paraId="13572C41" w14:textId="77777777" w:rsidR="00B67A4E" w:rsidRPr="00D15B0F" w:rsidRDefault="00960454" w:rsidP="00D74882">
      <w:pPr>
        <w:jc w:val="both"/>
        <w:rPr>
          <w:lang w:val="es-PA"/>
        </w:rPr>
      </w:pPr>
      <w:r w:rsidRPr="00D15B0F">
        <w:rPr>
          <w:lang w:val="es-PA"/>
        </w:rPr>
        <w:t>Artículo 34. Protección de la notificación y la evidencia de aprendizaje.</w:t>
      </w:r>
    </w:p>
    <w:p w14:paraId="74961E34" w14:textId="77777777" w:rsidR="0024076F" w:rsidRPr="00D15B0F" w:rsidRDefault="00960454" w:rsidP="00D74882">
      <w:pPr>
        <w:jc w:val="both"/>
        <w:rPr>
          <w:lang w:val="es-PA"/>
        </w:rPr>
      </w:pPr>
      <w:r w:rsidRPr="00D15B0F">
        <w:rPr>
          <w:lang w:val="es-PA"/>
        </w:rPr>
        <w:t xml:space="preserve">Los reportes internos de eventos, análisis causa raíz y actas del comité de seguridad no serán admisibles como prueba de culpa, salvo las historias clínicas y documentos que la ley expresamente disponga. </w:t>
      </w:r>
    </w:p>
    <w:p w14:paraId="6F454B9F" w14:textId="5EA82B68" w:rsidR="00960454" w:rsidRPr="00D15B0F" w:rsidRDefault="00960454" w:rsidP="00D74882">
      <w:pPr>
        <w:jc w:val="both"/>
        <w:rPr>
          <w:lang w:val="es-PA"/>
        </w:rPr>
      </w:pPr>
      <w:r w:rsidRPr="00D15B0F">
        <w:rPr>
          <w:lang w:val="es-PA"/>
        </w:rPr>
        <w:t>La identificación de fallas sistémicas se usará exclusivamente para mejora y prevención, en línea con la Cultura Justa.</w:t>
      </w:r>
    </w:p>
    <w:p w14:paraId="0795E6E3" w14:textId="77777777" w:rsidR="0024076F" w:rsidRPr="00D15B0F" w:rsidRDefault="00960454" w:rsidP="00D74882">
      <w:pPr>
        <w:jc w:val="both"/>
        <w:rPr>
          <w:lang w:val="es-PA"/>
        </w:rPr>
      </w:pPr>
      <w:r w:rsidRPr="00D15B0F">
        <w:rPr>
          <w:lang w:val="es-PA"/>
        </w:rPr>
        <w:t>Artículo 35. Panel técnico y articulación.</w:t>
      </w:r>
    </w:p>
    <w:p w14:paraId="238B0FD2" w14:textId="0A779B92" w:rsidR="000C6219" w:rsidRPr="00D15B0F" w:rsidRDefault="00960454" w:rsidP="00C4610C">
      <w:pPr>
        <w:jc w:val="both"/>
        <w:rPr>
          <w:lang w:val="es-PA"/>
        </w:rPr>
      </w:pPr>
      <w:r w:rsidRPr="00D15B0F">
        <w:rPr>
          <w:lang w:val="es-PA"/>
        </w:rPr>
        <w:t xml:space="preserve">El panel pericial </w:t>
      </w:r>
      <w:r w:rsidR="00C4610C" w:rsidRPr="00D15B0F">
        <w:rPr>
          <w:lang w:val="es-PA"/>
        </w:rPr>
        <w:t xml:space="preserve">o tribunal médico depende y es </w:t>
      </w:r>
      <w:r w:rsidR="00C60DC3" w:rsidRPr="00D15B0F">
        <w:rPr>
          <w:lang w:val="es-PA"/>
        </w:rPr>
        <w:t xml:space="preserve">elegido </w:t>
      </w:r>
      <w:r w:rsidR="00C4610C" w:rsidRPr="00D15B0F">
        <w:rPr>
          <w:lang w:val="es-PA"/>
        </w:rPr>
        <w:t>por el</w:t>
      </w:r>
      <w:r w:rsidR="0007176B" w:rsidRPr="0007176B">
        <w:rPr>
          <w:rFonts w:ascii="Arial" w:hAnsi="Arial" w:cs="Arial"/>
          <w:color w:val="000000" w:themeColor="text1"/>
          <w:szCs w:val="24"/>
          <w:lang w:val="es-PA"/>
        </w:rPr>
        <w:t xml:space="preserve"> </w:t>
      </w:r>
      <w:r w:rsidR="0007176B">
        <w:rPr>
          <w:rFonts w:ascii="Arial" w:hAnsi="Arial" w:cs="Arial"/>
          <w:color w:val="000000" w:themeColor="text1"/>
          <w:szCs w:val="24"/>
          <w:lang w:val="es-PA"/>
        </w:rPr>
        <w:t>CNCSP</w:t>
      </w:r>
      <w:r w:rsidR="0007176B" w:rsidRPr="00D15B0F">
        <w:rPr>
          <w:lang w:val="es-PA"/>
        </w:rPr>
        <w:t xml:space="preserve"> y a</w:t>
      </w:r>
      <w:r w:rsidRPr="00D15B0F">
        <w:rPr>
          <w:lang w:val="es-PA"/>
        </w:rPr>
        <w:t>ctuará con independencia y estándares técnicos para:</w:t>
      </w:r>
    </w:p>
    <w:p w14:paraId="6EEEBBD8" w14:textId="09294561" w:rsidR="000C6219" w:rsidRPr="00D15B0F" w:rsidRDefault="00960454" w:rsidP="000C6219">
      <w:pPr>
        <w:pStyle w:val="Prrafodelista"/>
        <w:numPr>
          <w:ilvl w:val="0"/>
          <w:numId w:val="15"/>
        </w:numPr>
        <w:jc w:val="both"/>
        <w:rPr>
          <w:lang w:val="es-PA"/>
        </w:rPr>
      </w:pPr>
      <w:r w:rsidRPr="00D15B0F">
        <w:rPr>
          <w:lang w:val="es-PA"/>
        </w:rPr>
        <w:t xml:space="preserve">Confirmación de elegibilidad No </w:t>
      </w:r>
      <w:r w:rsidR="005C52CA" w:rsidRPr="00D15B0F">
        <w:rPr>
          <w:lang w:val="es-PA"/>
        </w:rPr>
        <w:t>Fault.</w:t>
      </w:r>
    </w:p>
    <w:p w14:paraId="30DCBE5B" w14:textId="5DFA0239" w:rsidR="00397B46" w:rsidRPr="00D15B0F" w:rsidRDefault="00960454" w:rsidP="00397B46">
      <w:pPr>
        <w:pStyle w:val="Prrafodelista"/>
        <w:numPr>
          <w:ilvl w:val="0"/>
          <w:numId w:val="15"/>
        </w:numPr>
        <w:jc w:val="both"/>
        <w:rPr>
          <w:lang w:val="es-PA"/>
        </w:rPr>
      </w:pPr>
      <w:r w:rsidRPr="00D15B0F">
        <w:rPr>
          <w:lang w:val="es-PA"/>
        </w:rPr>
        <w:t xml:space="preserve">Determinación de daño y </w:t>
      </w:r>
      <w:r w:rsidR="00397B46" w:rsidRPr="00D15B0F">
        <w:rPr>
          <w:lang w:val="es-PA"/>
        </w:rPr>
        <w:t>cuantificación del mismo.</w:t>
      </w:r>
    </w:p>
    <w:p w14:paraId="747A9F8D" w14:textId="77777777" w:rsidR="00C4610C" w:rsidRPr="00D15B0F" w:rsidRDefault="00960454" w:rsidP="000C6219">
      <w:pPr>
        <w:pStyle w:val="Prrafodelista"/>
        <w:numPr>
          <w:ilvl w:val="0"/>
          <w:numId w:val="15"/>
        </w:numPr>
        <w:jc w:val="both"/>
        <w:rPr>
          <w:lang w:val="es-PA"/>
        </w:rPr>
      </w:pPr>
      <w:r w:rsidRPr="00D15B0F">
        <w:rPr>
          <w:lang w:val="es-PA"/>
        </w:rPr>
        <w:t>Distinción entre error, complicación inherente y culpa.</w:t>
      </w:r>
    </w:p>
    <w:p w14:paraId="507316B6" w14:textId="207C72B1" w:rsidR="00960454" w:rsidRPr="00D15B0F" w:rsidRDefault="00960454" w:rsidP="000C6219">
      <w:pPr>
        <w:pStyle w:val="Prrafodelista"/>
        <w:numPr>
          <w:ilvl w:val="0"/>
          <w:numId w:val="15"/>
        </w:numPr>
        <w:jc w:val="both"/>
        <w:rPr>
          <w:lang w:val="es-PA"/>
        </w:rPr>
      </w:pPr>
      <w:r w:rsidRPr="00D15B0F">
        <w:rPr>
          <w:lang w:val="es-PA"/>
        </w:rPr>
        <w:t>El procedimiento No Fault no interfiere con el debido proceso</w:t>
      </w:r>
      <w:r w:rsidR="001C26C0" w:rsidRPr="00D15B0F">
        <w:rPr>
          <w:lang w:val="es-PA"/>
        </w:rPr>
        <w:t xml:space="preserve"> </w:t>
      </w:r>
      <w:r w:rsidRPr="00D15B0F">
        <w:rPr>
          <w:lang w:val="es-PA"/>
        </w:rPr>
        <w:t>judicial cuando corresponda.</w:t>
      </w:r>
    </w:p>
    <w:p w14:paraId="6A3B1902" w14:textId="77777777" w:rsidR="00960454" w:rsidRPr="00D15B0F" w:rsidRDefault="00960454" w:rsidP="00D74882">
      <w:pPr>
        <w:jc w:val="both"/>
        <w:rPr>
          <w:lang w:val="es-PA"/>
        </w:rPr>
      </w:pPr>
      <w:r w:rsidRPr="00D15B0F">
        <w:rPr>
          <w:lang w:val="es-PA"/>
        </w:rPr>
        <w:t>Artículo 36. Información al paciente.</w:t>
      </w:r>
      <w:r w:rsidRPr="00D15B0F">
        <w:rPr>
          <w:lang w:val="es-PA"/>
        </w:rPr>
        <w:br/>
        <w:t xml:space="preserve">El establecimiento deberá informar al paciente/familia, en lenguaje claro, sobre: el evento, </w:t>
      </w:r>
      <w:r w:rsidRPr="00D15B0F">
        <w:rPr>
          <w:lang w:val="es-PA"/>
        </w:rPr>
        <w:lastRenderedPageBreak/>
        <w:t>las medidas realizadas, la opción No Fault, sus plazos, derechos de reparación integral y rutas alternativas. Se garantizará apoyo psicosocial y acompañamiento durante el trámite.</w:t>
      </w:r>
    </w:p>
    <w:p w14:paraId="3FDB2128" w14:textId="77777777" w:rsidR="008A6B01" w:rsidRPr="00D15B0F" w:rsidRDefault="00960454" w:rsidP="00D74882">
      <w:pPr>
        <w:jc w:val="both"/>
        <w:rPr>
          <w:lang w:val="es-PA"/>
        </w:rPr>
      </w:pPr>
      <w:r w:rsidRPr="00D15B0F">
        <w:rPr>
          <w:lang w:val="es-PA"/>
        </w:rPr>
        <w:t>Artículo 37. Disposiciones transitorias.</w:t>
      </w:r>
      <w:r w:rsidRPr="00D15B0F">
        <w:rPr>
          <w:lang w:val="es-PA"/>
        </w:rPr>
        <w:br/>
        <w:t>El Órgano Ejecutivo reglamentará el FPCS y el FPrCS en un plazo no mayor de 120 días a partir de la vigencia de esta Ley, incluyendo: gobernanza, criterios de elegibilidad, tablas de compensación, mecanismos digitales y reaseguro.</w:t>
      </w:r>
    </w:p>
    <w:p w14:paraId="783B5A35" w14:textId="2BD25A33" w:rsidR="00960454" w:rsidRPr="00D15B0F" w:rsidRDefault="00960454" w:rsidP="00D74882">
      <w:pPr>
        <w:jc w:val="both"/>
        <w:rPr>
          <w:lang w:val="es-PA"/>
        </w:rPr>
      </w:pPr>
      <w:r w:rsidRPr="00D15B0F">
        <w:rPr>
          <w:lang w:val="es-PA"/>
        </w:rPr>
        <w:t>La operación de los fondos iniciará dentro de los 180 días siguientes a la publicación del reglamento. Los establecimientos deberán ajustar sus procesos para integrar el flujo del</w:t>
      </w:r>
      <w:r w:rsidR="006E35A1" w:rsidRPr="00D15B0F">
        <w:rPr>
          <w:lang w:val="es-PA"/>
        </w:rPr>
        <w:t xml:space="preserve"> tribunal médico.</w:t>
      </w:r>
    </w:p>
    <w:p w14:paraId="59B6AE28" w14:textId="77777777" w:rsidR="00665A16" w:rsidRPr="00D15B0F" w:rsidRDefault="00665A16" w:rsidP="00D74882">
      <w:pPr>
        <w:jc w:val="both"/>
        <w:rPr>
          <w:rFonts w:ascii="Arial" w:hAnsi="Arial" w:cs="Arial"/>
          <w:color w:val="000000" w:themeColor="text1"/>
          <w:szCs w:val="24"/>
          <w:lang w:val="es-PA"/>
        </w:rPr>
      </w:pPr>
    </w:p>
    <w:sectPr w:rsidR="00665A16" w:rsidRPr="00D15B0F" w:rsidSect="000346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A92CE6" w14:textId="77777777" w:rsidR="007C00BA" w:rsidRDefault="007C00BA" w:rsidP="00D15B0F">
      <w:pPr>
        <w:spacing w:after="0" w:line="240" w:lineRule="auto"/>
      </w:pPr>
      <w:r>
        <w:separator/>
      </w:r>
    </w:p>
  </w:endnote>
  <w:endnote w:type="continuationSeparator" w:id="0">
    <w:p w14:paraId="1208BAAC" w14:textId="77777777" w:rsidR="007C00BA" w:rsidRDefault="007C00BA" w:rsidP="00D15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806EE" w14:textId="77777777" w:rsidR="00D15B0F" w:rsidRDefault="00D15B0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6490F" w14:textId="77777777" w:rsidR="00D15B0F" w:rsidRDefault="00D15B0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80EB5" w14:textId="77777777" w:rsidR="00D15B0F" w:rsidRDefault="00D15B0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5CDEDE" w14:textId="77777777" w:rsidR="007C00BA" w:rsidRDefault="007C00BA" w:rsidP="00D15B0F">
      <w:pPr>
        <w:spacing w:after="0" w:line="240" w:lineRule="auto"/>
      </w:pPr>
      <w:r>
        <w:separator/>
      </w:r>
    </w:p>
  </w:footnote>
  <w:footnote w:type="continuationSeparator" w:id="0">
    <w:p w14:paraId="37586E79" w14:textId="77777777" w:rsidR="007C00BA" w:rsidRDefault="007C00BA" w:rsidP="00D15B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1F8FAD" w14:textId="638D3E27" w:rsidR="00D15B0F" w:rsidRDefault="007C00BA">
    <w:pPr>
      <w:pStyle w:val="Encabezado"/>
    </w:pPr>
    <w:r>
      <w:rPr>
        <w:noProof/>
      </w:rPr>
      <w:pict w14:anchorId="3C96483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4962421" o:spid="_x0000_s1027" type="#_x0000_t136" alt="" style="position:absolute;margin-left:0;margin-top:0;width:518.7pt;height:103.7pt;rotation:315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;font-weight:bold" string="BORRADOR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D5E47" w14:textId="4C67AB0A" w:rsidR="00D15B0F" w:rsidRDefault="00D15B0F">
    <w:pPr>
      <w:pStyle w:val="Encabezado"/>
    </w:pPr>
    <w:r w:rsidRPr="00D15B0F">
      <w:drawing>
        <wp:inline distT="0" distB="0" distL="0" distR="0" wp14:anchorId="40197746" wp14:editId="2136D9A2">
          <wp:extent cx="1055077" cy="695325"/>
          <wp:effectExtent l="0" t="0" r="0" b="3175"/>
          <wp:docPr id="10" name="Imagen 9">
            <a:extLst xmlns:a="http://schemas.openxmlformats.org/drawingml/2006/main">
              <a:ext uri="{FF2B5EF4-FFF2-40B4-BE49-F238E27FC236}">
                <a16:creationId xmlns:a16="http://schemas.microsoft.com/office/drawing/2014/main" id="{D772A932-419A-328D-C8B2-7496BBE4DFB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9">
                    <a:extLst>
                      <a:ext uri="{FF2B5EF4-FFF2-40B4-BE49-F238E27FC236}">
                        <a16:creationId xmlns:a16="http://schemas.microsoft.com/office/drawing/2014/main" id="{D772A932-419A-328D-C8B2-7496BBE4DFB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9827" cy="698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C00BA">
      <w:rPr>
        <w:noProof/>
      </w:rPr>
      <w:pict w14:anchorId="26D391D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4962422" o:spid="_x0000_s1026" type="#_x0000_t136" alt="" style="position:absolute;margin-left:0;margin-top:0;width:518.7pt;height:103.7pt;rotation:315;z-index:-25164697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;font-weight:bold" string="BORRADOR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DFBDD" w14:textId="4DA5B184" w:rsidR="00D15B0F" w:rsidRDefault="007C00BA">
    <w:pPr>
      <w:pStyle w:val="Encabezado"/>
    </w:pPr>
    <w:r>
      <w:rPr>
        <w:noProof/>
      </w:rPr>
      <w:pict w14:anchorId="6898030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4962420" o:spid="_x0000_s1025" type="#_x0000_t136" alt="" style="position:absolute;margin-left:0;margin-top:0;width:518.7pt;height:103.7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;font-weight:bold" string="BORRADOR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4B539AF"/>
    <w:multiLevelType w:val="hybridMultilevel"/>
    <w:tmpl w:val="44B081F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C863D0"/>
    <w:multiLevelType w:val="hybridMultilevel"/>
    <w:tmpl w:val="D8CA70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CE2686"/>
    <w:multiLevelType w:val="hybridMultilevel"/>
    <w:tmpl w:val="4D68FDF8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34343C"/>
    <w:multiLevelType w:val="hybridMultilevel"/>
    <w:tmpl w:val="1BB0A48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524BA7"/>
    <w:multiLevelType w:val="hybridMultilevel"/>
    <w:tmpl w:val="11CC2A32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536A64"/>
    <w:multiLevelType w:val="hybridMultilevel"/>
    <w:tmpl w:val="AFD038A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3206521">
    <w:abstractNumId w:val="8"/>
  </w:num>
  <w:num w:numId="2" w16cid:durableId="1214853662">
    <w:abstractNumId w:val="6"/>
  </w:num>
  <w:num w:numId="3" w16cid:durableId="761874892">
    <w:abstractNumId w:val="5"/>
  </w:num>
  <w:num w:numId="4" w16cid:durableId="857431025">
    <w:abstractNumId w:val="4"/>
  </w:num>
  <w:num w:numId="5" w16cid:durableId="1667976289">
    <w:abstractNumId w:val="7"/>
  </w:num>
  <w:num w:numId="6" w16cid:durableId="23135604">
    <w:abstractNumId w:val="3"/>
  </w:num>
  <w:num w:numId="7" w16cid:durableId="2098479470">
    <w:abstractNumId w:val="2"/>
  </w:num>
  <w:num w:numId="8" w16cid:durableId="88160314">
    <w:abstractNumId w:val="1"/>
  </w:num>
  <w:num w:numId="9" w16cid:durableId="772625221">
    <w:abstractNumId w:val="0"/>
  </w:num>
  <w:num w:numId="10" w16cid:durableId="1335299876">
    <w:abstractNumId w:val="9"/>
  </w:num>
  <w:num w:numId="11" w16cid:durableId="2079982034">
    <w:abstractNumId w:val="11"/>
  </w:num>
  <w:num w:numId="12" w16cid:durableId="1761678196">
    <w:abstractNumId w:val="14"/>
  </w:num>
  <w:num w:numId="13" w16cid:durableId="986588368">
    <w:abstractNumId w:val="10"/>
  </w:num>
  <w:num w:numId="14" w16cid:durableId="432014673">
    <w:abstractNumId w:val="12"/>
  </w:num>
  <w:num w:numId="15" w16cid:durableId="11498314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3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6B78"/>
    <w:rsid w:val="000279FC"/>
    <w:rsid w:val="00034616"/>
    <w:rsid w:val="0006063C"/>
    <w:rsid w:val="00067A5F"/>
    <w:rsid w:val="0007176B"/>
    <w:rsid w:val="000C0B2B"/>
    <w:rsid w:val="000C6219"/>
    <w:rsid w:val="00103EF7"/>
    <w:rsid w:val="0015074B"/>
    <w:rsid w:val="0015774C"/>
    <w:rsid w:val="0019276F"/>
    <w:rsid w:val="0019731D"/>
    <w:rsid w:val="001B0E48"/>
    <w:rsid w:val="001C1C0F"/>
    <w:rsid w:val="001C26C0"/>
    <w:rsid w:val="001F71C1"/>
    <w:rsid w:val="002009F7"/>
    <w:rsid w:val="0024076F"/>
    <w:rsid w:val="00242C05"/>
    <w:rsid w:val="0029639D"/>
    <w:rsid w:val="00307A21"/>
    <w:rsid w:val="00326F90"/>
    <w:rsid w:val="00355013"/>
    <w:rsid w:val="003722FE"/>
    <w:rsid w:val="00372675"/>
    <w:rsid w:val="00397B46"/>
    <w:rsid w:val="003A231A"/>
    <w:rsid w:val="004060AB"/>
    <w:rsid w:val="00436CC9"/>
    <w:rsid w:val="00451CB0"/>
    <w:rsid w:val="00466982"/>
    <w:rsid w:val="00477D18"/>
    <w:rsid w:val="004D46B8"/>
    <w:rsid w:val="004F720F"/>
    <w:rsid w:val="00531899"/>
    <w:rsid w:val="00576F10"/>
    <w:rsid w:val="005C52CA"/>
    <w:rsid w:val="005E3798"/>
    <w:rsid w:val="005F188D"/>
    <w:rsid w:val="00647E7B"/>
    <w:rsid w:val="006535F1"/>
    <w:rsid w:val="00665A16"/>
    <w:rsid w:val="006A7878"/>
    <w:rsid w:val="006B50C0"/>
    <w:rsid w:val="006E00FB"/>
    <w:rsid w:val="006E35A1"/>
    <w:rsid w:val="0071563E"/>
    <w:rsid w:val="00752880"/>
    <w:rsid w:val="0079352D"/>
    <w:rsid w:val="007A47EF"/>
    <w:rsid w:val="007B5BE3"/>
    <w:rsid w:val="007C00BA"/>
    <w:rsid w:val="007E23B7"/>
    <w:rsid w:val="00830B0A"/>
    <w:rsid w:val="008A6B01"/>
    <w:rsid w:val="008B1CCF"/>
    <w:rsid w:val="008B3BE5"/>
    <w:rsid w:val="008B78F1"/>
    <w:rsid w:val="008C783F"/>
    <w:rsid w:val="008E4F71"/>
    <w:rsid w:val="008E5A12"/>
    <w:rsid w:val="009437FE"/>
    <w:rsid w:val="00960454"/>
    <w:rsid w:val="00961CC1"/>
    <w:rsid w:val="009F14DA"/>
    <w:rsid w:val="00A011A5"/>
    <w:rsid w:val="00A27CAE"/>
    <w:rsid w:val="00A721DB"/>
    <w:rsid w:val="00A870E4"/>
    <w:rsid w:val="00AA1D8D"/>
    <w:rsid w:val="00AA4EE2"/>
    <w:rsid w:val="00AE6F11"/>
    <w:rsid w:val="00B11A2B"/>
    <w:rsid w:val="00B206EB"/>
    <w:rsid w:val="00B47730"/>
    <w:rsid w:val="00B62326"/>
    <w:rsid w:val="00B67A4E"/>
    <w:rsid w:val="00B90AE9"/>
    <w:rsid w:val="00B96419"/>
    <w:rsid w:val="00C132F6"/>
    <w:rsid w:val="00C328FC"/>
    <w:rsid w:val="00C4017C"/>
    <w:rsid w:val="00C45481"/>
    <w:rsid w:val="00C4610C"/>
    <w:rsid w:val="00C60DC3"/>
    <w:rsid w:val="00C8485D"/>
    <w:rsid w:val="00CB0664"/>
    <w:rsid w:val="00CD5A36"/>
    <w:rsid w:val="00D15B0F"/>
    <w:rsid w:val="00D47578"/>
    <w:rsid w:val="00D51C6D"/>
    <w:rsid w:val="00D74882"/>
    <w:rsid w:val="00E01D2C"/>
    <w:rsid w:val="00E26EE2"/>
    <w:rsid w:val="00E2754A"/>
    <w:rsid w:val="00E55449"/>
    <w:rsid w:val="00E810A5"/>
    <w:rsid w:val="00EF25D0"/>
    <w:rsid w:val="00F315A5"/>
    <w:rsid w:val="00F50763"/>
    <w:rsid w:val="00F570E3"/>
    <w:rsid w:val="00F603D1"/>
    <w:rsid w:val="00FC693F"/>
    <w:rsid w:val="00FD64A4"/>
    <w:rsid w:val="00FF2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2458632A"/>
  <w14:defaultImageDpi w14:val="300"/>
  <w15:docId w15:val="{E296E0DE-DC38-0249-9F93-CE7408C6A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2054</Words>
  <Characters>11298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13326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Microsoft Office User</cp:lastModifiedBy>
  <cp:revision>2</cp:revision>
  <dcterms:created xsi:type="dcterms:W3CDTF">2025-09-26T00:29:00Z</dcterms:created>
  <dcterms:modified xsi:type="dcterms:W3CDTF">2025-09-26T00:29:00Z</dcterms:modified>
  <cp:category/>
</cp:coreProperties>
</file>